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A95D9" w14:textId="718C2F6E" w:rsidR="00D223AD" w:rsidRDefault="00F82C24" w:rsidP="009937FF">
      <w:pPr>
        <w:pStyle w:val="NoSpacing"/>
        <w:rPr>
          <w:noProof/>
        </w:rPr>
      </w:pPr>
      <w:bookmarkStart w:id="0" w:name="_GoBack"/>
      <w:bookmarkEnd w:id="0"/>
      <w:r>
        <w:rPr>
          <w:noProof/>
        </w:rPr>
        <w:drawing>
          <wp:inline distT="0" distB="0" distL="0" distR="0" wp14:anchorId="1C9FAFAE" wp14:editId="3523592A">
            <wp:extent cx="3585550" cy="847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PE_logo ma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1673" cy="882273"/>
                    </a:xfrm>
                    <a:prstGeom prst="rect">
                      <a:avLst/>
                    </a:prstGeom>
                  </pic:spPr>
                </pic:pic>
              </a:graphicData>
            </a:graphic>
          </wp:inline>
        </w:drawing>
      </w:r>
    </w:p>
    <w:p w14:paraId="3D1369B8" w14:textId="77777777" w:rsidR="00F82C24" w:rsidRDefault="00F82C24" w:rsidP="00D223AD">
      <w:pPr>
        <w:ind w:left="0" w:firstLine="0"/>
        <w:rPr>
          <w:noProof/>
        </w:rPr>
      </w:pPr>
    </w:p>
    <w:p w14:paraId="2CCB810D" w14:textId="77777777" w:rsidR="00F82C24" w:rsidRDefault="00F82C24" w:rsidP="00D223AD">
      <w:pPr>
        <w:ind w:left="0" w:firstLine="0"/>
        <w:rPr>
          <w:noProof/>
        </w:rPr>
      </w:pPr>
    </w:p>
    <w:p w14:paraId="162294F6" w14:textId="77777777" w:rsidR="00F82C24" w:rsidRDefault="00F82C24" w:rsidP="00D223AD">
      <w:pPr>
        <w:ind w:left="0" w:firstLine="0"/>
        <w:rPr>
          <w:noProof/>
        </w:rPr>
      </w:pPr>
    </w:p>
    <w:p w14:paraId="47B94E8C" w14:textId="77777777" w:rsidR="00F82C24" w:rsidRDefault="00F82C24" w:rsidP="00D223AD">
      <w:pPr>
        <w:ind w:left="0" w:firstLine="0"/>
        <w:rPr>
          <w:noProof/>
          <w:sz w:val="40"/>
          <w:szCs w:val="40"/>
        </w:rPr>
      </w:pPr>
    </w:p>
    <w:p w14:paraId="2B073F01" w14:textId="77777777" w:rsidR="00F82C24" w:rsidRDefault="00F82C24" w:rsidP="00D223AD">
      <w:pPr>
        <w:ind w:left="0" w:firstLine="0"/>
        <w:rPr>
          <w:noProof/>
          <w:sz w:val="40"/>
          <w:szCs w:val="40"/>
        </w:rPr>
      </w:pPr>
    </w:p>
    <w:p w14:paraId="5008E3A7" w14:textId="77777777" w:rsidR="00F82C24" w:rsidRDefault="00F82C24" w:rsidP="00D223AD">
      <w:pPr>
        <w:ind w:left="0" w:firstLine="0"/>
        <w:rPr>
          <w:noProof/>
          <w:sz w:val="40"/>
          <w:szCs w:val="40"/>
        </w:rPr>
      </w:pPr>
    </w:p>
    <w:p w14:paraId="001252CA" w14:textId="77777777" w:rsidR="00F82C24" w:rsidRPr="00413C57" w:rsidRDefault="00F82C24" w:rsidP="00413C57">
      <w:pPr>
        <w:ind w:left="0" w:firstLine="0"/>
        <w:jc w:val="center"/>
        <w:rPr>
          <w:b/>
          <w:noProof/>
          <w:color w:val="808080" w:themeColor="background1" w:themeShade="80"/>
          <w:sz w:val="56"/>
          <w:szCs w:val="56"/>
        </w:rPr>
      </w:pPr>
    </w:p>
    <w:p w14:paraId="59FED00B" w14:textId="77777777" w:rsidR="00E014E4" w:rsidRDefault="00E014E4" w:rsidP="00D223AD">
      <w:pPr>
        <w:ind w:left="0" w:firstLine="0"/>
        <w:rPr>
          <w:noProof/>
          <w:sz w:val="40"/>
          <w:szCs w:val="40"/>
        </w:rPr>
      </w:pPr>
    </w:p>
    <w:p w14:paraId="1F802CD6" w14:textId="77777777" w:rsidR="00637318" w:rsidRDefault="00637318" w:rsidP="00D223AD">
      <w:pPr>
        <w:ind w:left="0" w:firstLine="0"/>
        <w:rPr>
          <w:b/>
          <w:noProof/>
          <w:sz w:val="40"/>
          <w:szCs w:val="40"/>
        </w:rPr>
      </w:pPr>
    </w:p>
    <w:p w14:paraId="1344D201" w14:textId="77777777" w:rsidR="00637318" w:rsidRDefault="00637318" w:rsidP="00D223AD">
      <w:pPr>
        <w:ind w:left="0" w:firstLine="0"/>
        <w:rPr>
          <w:b/>
          <w:noProof/>
          <w:sz w:val="40"/>
          <w:szCs w:val="40"/>
        </w:rPr>
      </w:pPr>
    </w:p>
    <w:p w14:paraId="1D4E559F" w14:textId="58E28ED8" w:rsidR="00352723" w:rsidRDefault="00F82C24" w:rsidP="004E55A6">
      <w:pPr>
        <w:ind w:left="0" w:firstLine="0"/>
        <w:jc w:val="center"/>
        <w:rPr>
          <w:b/>
          <w:noProof/>
          <w:sz w:val="40"/>
          <w:szCs w:val="40"/>
        </w:rPr>
      </w:pPr>
      <w:r w:rsidRPr="00F82C24">
        <w:rPr>
          <w:b/>
          <w:noProof/>
          <w:sz w:val="40"/>
          <w:szCs w:val="40"/>
        </w:rPr>
        <w:t xml:space="preserve">Report on </w:t>
      </w:r>
      <w:r w:rsidR="00FF0E57">
        <w:rPr>
          <w:b/>
          <w:noProof/>
          <w:sz w:val="40"/>
          <w:szCs w:val="40"/>
        </w:rPr>
        <w:t>Dartmouth Park</w:t>
      </w:r>
      <w:r w:rsidR="004E55A6">
        <w:rPr>
          <w:b/>
          <w:noProof/>
          <w:sz w:val="40"/>
          <w:szCs w:val="40"/>
        </w:rPr>
        <w:t xml:space="preserve"> Neighbourhood Plan </w:t>
      </w:r>
    </w:p>
    <w:p w14:paraId="5239360C" w14:textId="1A6E3294" w:rsidR="00F82C24" w:rsidRPr="00F82C24" w:rsidRDefault="004E55A6" w:rsidP="004E55A6">
      <w:pPr>
        <w:ind w:left="0" w:firstLine="0"/>
        <w:jc w:val="center"/>
        <w:rPr>
          <w:b/>
          <w:sz w:val="40"/>
          <w:szCs w:val="40"/>
        </w:rPr>
      </w:pPr>
      <w:r>
        <w:rPr>
          <w:b/>
          <w:noProof/>
          <w:sz w:val="40"/>
          <w:szCs w:val="40"/>
        </w:rPr>
        <w:t>20</w:t>
      </w:r>
      <w:r w:rsidR="00884263">
        <w:rPr>
          <w:b/>
          <w:noProof/>
          <w:sz w:val="40"/>
          <w:szCs w:val="40"/>
        </w:rPr>
        <w:t xml:space="preserve">19 </w:t>
      </w:r>
      <w:r>
        <w:rPr>
          <w:b/>
          <w:noProof/>
          <w:sz w:val="40"/>
          <w:szCs w:val="40"/>
        </w:rPr>
        <w:t>-</w:t>
      </w:r>
      <w:r w:rsidR="00352723">
        <w:rPr>
          <w:b/>
          <w:noProof/>
          <w:sz w:val="40"/>
          <w:szCs w:val="40"/>
        </w:rPr>
        <w:t xml:space="preserve"> </w:t>
      </w:r>
      <w:r>
        <w:rPr>
          <w:b/>
          <w:noProof/>
          <w:sz w:val="40"/>
          <w:szCs w:val="40"/>
        </w:rPr>
        <w:t>20</w:t>
      </w:r>
      <w:r w:rsidR="00884263">
        <w:rPr>
          <w:b/>
          <w:noProof/>
          <w:sz w:val="40"/>
          <w:szCs w:val="40"/>
        </w:rPr>
        <w:t>34</w:t>
      </w:r>
    </w:p>
    <w:p w14:paraId="77DB4159" w14:textId="77777777" w:rsidR="00F82C24" w:rsidRDefault="00F82C24">
      <w:pPr>
        <w:spacing w:after="160" w:line="259" w:lineRule="auto"/>
        <w:ind w:left="0" w:firstLine="0"/>
        <w:jc w:val="left"/>
      </w:pPr>
    </w:p>
    <w:p w14:paraId="3166EF1D" w14:textId="77777777" w:rsidR="00F82C24" w:rsidRDefault="00F82C24">
      <w:pPr>
        <w:spacing w:after="160" w:line="259" w:lineRule="auto"/>
        <w:ind w:left="0" w:firstLine="0"/>
        <w:jc w:val="left"/>
      </w:pPr>
    </w:p>
    <w:p w14:paraId="54F00812" w14:textId="77777777" w:rsidR="00F82C24" w:rsidRDefault="00F82C24">
      <w:pPr>
        <w:spacing w:after="160" w:line="259" w:lineRule="auto"/>
        <w:ind w:left="0" w:firstLine="0"/>
        <w:jc w:val="left"/>
      </w:pPr>
    </w:p>
    <w:p w14:paraId="177280E5" w14:textId="77777777" w:rsidR="00F82C24" w:rsidRDefault="00F82C24">
      <w:pPr>
        <w:spacing w:after="160" w:line="259" w:lineRule="auto"/>
        <w:ind w:left="0" w:firstLine="0"/>
        <w:jc w:val="left"/>
      </w:pPr>
    </w:p>
    <w:p w14:paraId="1EC78951" w14:textId="77777777" w:rsidR="00F82C24" w:rsidRDefault="00F82C24">
      <w:pPr>
        <w:spacing w:after="160" w:line="259" w:lineRule="auto"/>
        <w:ind w:left="0" w:firstLine="0"/>
        <w:jc w:val="left"/>
      </w:pPr>
    </w:p>
    <w:p w14:paraId="67EB9DC6" w14:textId="77777777" w:rsidR="00F82C24" w:rsidRDefault="00F82C24">
      <w:pPr>
        <w:spacing w:after="160" w:line="259" w:lineRule="auto"/>
        <w:ind w:left="0" w:firstLine="0"/>
        <w:jc w:val="left"/>
      </w:pPr>
    </w:p>
    <w:p w14:paraId="55109B5B" w14:textId="77777777" w:rsidR="00F82C24" w:rsidRDefault="00F82C24">
      <w:pPr>
        <w:spacing w:after="160" w:line="259" w:lineRule="auto"/>
        <w:ind w:left="0" w:firstLine="0"/>
        <w:jc w:val="left"/>
      </w:pPr>
    </w:p>
    <w:p w14:paraId="7924D782" w14:textId="77777777" w:rsidR="00F82C24" w:rsidRDefault="00F82C24">
      <w:pPr>
        <w:spacing w:after="160" w:line="259" w:lineRule="auto"/>
        <w:ind w:left="0" w:firstLine="0"/>
        <w:jc w:val="left"/>
      </w:pPr>
    </w:p>
    <w:p w14:paraId="156C942F" w14:textId="77777777" w:rsidR="00F82C24" w:rsidRDefault="00F82C24">
      <w:pPr>
        <w:spacing w:after="160" w:line="259" w:lineRule="auto"/>
        <w:ind w:left="0" w:firstLine="0"/>
        <w:jc w:val="left"/>
      </w:pPr>
    </w:p>
    <w:p w14:paraId="48FA5664" w14:textId="0F9ABC74" w:rsidR="00262021" w:rsidRPr="00262021" w:rsidRDefault="00262021" w:rsidP="00AA4778">
      <w:pPr>
        <w:autoSpaceDE w:val="0"/>
        <w:autoSpaceDN w:val="0"/>
        <w:adjustRightInd w:val="0"/>
        <w:ind w:left="0" w:firstLine="0"/>
        <w:jc w:val="left"/>
        <w:rPr>
          <w:b/>
          <w:szCs w:val="22"/>
        </w:rPr>
      </w:pPr>
      <w:r w:rsidRPr="00262021">
        <w:rPr>
          <w:b/>
        </w:rPr>
        <w:t xml:space="preserve">An Examination undertaken for </w:t>
      </w:r>
      <w:r w:rsidR="00FF0E57">
        <w:rPr>
          <w:b/>
        </w:rPr>
        <w:t>the London Borough of Camden</w:t>
      </w:r>
      <w:r w:rsidRPr="00262021">
        <w:rPr>
          <w:rFonts w:eastAsiaTheme="minorHAnsi" w:cs="Arial"/>
          <w:b/>
          <w:bCs/>
          <w:szCs w:val="22"/>
          <w:lang w:eastAsia="en-US"/>
        </w:rPr>
        <w:t xml:space="preserve"> with the support of </w:t>
      </w:r>
      <w:r w:rsidR="00352723">
        <w:rPr>
          <w:rFonts w:eastAsiaTheme="minorHAnsi" w:cs="Arial"/>
          <w:b/>
          <w:bCs/>
          <w:szCs w:val="22"/>
          <w:lang w:eastAsia="en-US"/>
        </w:rPr>
        <w:t xml:space="preserve">the </w:t>
      </w:r>
      <w:r w:rsidR="00884263">
        <w:rPr>
          <w:rFonts w:eastAsiaTheme="minorHAnsi" w:cs="Arial"/>
          <w:b/>
          <w:bCs/>
          <w:szCs w:val="22"/>
          <w:lang w:eastAsia="en-US"/>
        </w:rPr>
        <w:t>Dartmouth Park Neighbourhood Forum</w:t>
      </w:r>
      <w:r w:rsidR="00352723">
        <w:rPr>
          <w:rFonts w:eastAsiaTheme="minorHAnsi" w:cs="Arial"/>
          <w:b/>
          <w:bCs/>
          <w:szCs w:val="22"/>
          <w:lang w:eastAsia="en-US"/>
        </w:rPr>
        <w:t xml:space="preserve"> </w:t>
      </w:r>
      <w:r w:rsidRPr="00262021">
        <w:rPr>
          <w:rFonts w:eastAsiaTheme="minorHAnsi" w:cs="Arial"/>
          <w:b/>
          <w:bCs/>
          <w:szCs w:val="22"/>
          <w:lang w:eastAsia="en-US"/>
        </w:rPr>
        <w:t xml:space="preserve">on the </w:t>
      </w:r>
      <w:r w:rsidR="006E4121">
        <w:rPr>
          <w:rFonts w:eastAsiaTheme="minorHAnsi" w:cs="Arial"/>
          <w:b/>
          <w:bCs/>
          <w:szCs w:val="22"/>
          <w:lang w:eastAsia="en-US"/>
        </w:rPr>
        <w:t>January 2019</w:t>
      </w:r>
      <w:r w:rsidR="00352723">
        <w:rPr>
          <w:rFonts w:eastAsiaTheme="minorHAnsi" w:cs="Arial"/>
          <w:b/>
          <w:bCs/>
          <w:szCs w:val="22"/>
          <w:lang w:eastAsia="en-US"/>
        </w:rPr>
        <w:t xml:space="preserve"> </w:t>
      </w:r>
      <w:r w:rsidRPr="00262021">
        <w:rPr>
          <w:rFonts w:eastAsiaTheme="minorHAnsi" w:cs="Arial"/>
          <w:b/>
          <w:bCs/>
          <w:szCs w:val="22"/>
          <w:lang w:eastAsia="en-US"/>
        </w:rPr>
        <w:t>submission version of the Plan.</w:t>
      </w:r>
    </w:p>
    <w:p w14:paraId="46D11F8F" w14:textId="77777777" w:rsidR="00F82C24" w:rsidRPr="00262021" w:rsidRDefault="00F82C24" w:rsidP="00AA4778">
      <w:pPr>
        <w:spacing w:line="259" w:lineRule="auto"/>
        <w:ind w:left="0" w:firstLine="0"/>
        <w:jc w:val="left"/>
      </w:pPr>
    </w:p>
    <w:p w14:paraId="5FB47F19" w14:textId="59BEFFEE" w:rsidR="00262021" w:rsidRPr="00262021" w:rsidRDefault="00F82C24" w:rsidP="00AA4778">
      <w:pPr>
        <w:autoSpaceDE w:val="0"/>
        <w:autoSpaceDN w:val="0"/>
        <w:adjustRightInd w:val="0"/>
        <w:ind w:left="0" w:firstLine="0"/>
        <w:jc w:val="left"/>
        <w:rPr>
          <w:rFonts w:eastAsiaTheme="minorHAnsi" w:cs="Arial"/>
          <w:b/>
          <w:bCs/>
          <w:sz w:val="32"/>
          <w:szCs w:val="32"/>
          <w:lang w:eastAsia="en-US"/>
        </w:rPr>
      </w:pPr>
      <w:r w:rsidRPr="00262021">
        <w:t xml:space="preserve">Independent Examiner: </w:t>
      </w:r>
      <w:r w:rsidR="00FF0E57">
        <w:t>David Hogger BA MSc MRTPI MCIHT</w:t>
      </w:r>
      <w:r w:rsidR="00262021" w:rsidRPr="00262021">
        <w:rPr>
          <w:rFonts w:eastAsiaTheme="minorHAnsi" w:cs="Arial"/>
          <w:b/>
          <w:bCs/>
          <w:sz w:val="32"/>
          <w:szCs w:val="32"/>
          <w:lang w:eastAsia="en-US"/>
        </w:rPr>
        <w:t xml:space="preserve"> </w:t>
      </w:r>
    </w:p>
    <w:p w14:paraId="2A7CCD3B" w14:textId="77777777" w:rsidR="00AA4778" w:rsidRDefault="00AA4778" w:rsidP="00AA4778">
      <w:pPr>
        <w:spacing w:line="259" w:lineRule="auto"/>
        <w:ind w:left="0" w:firstLine="0"/>
        <w:jc w:val="left"/>
      </w:pPr>
    </w:p>
    <w:p w14:paraId="10DA2089" w14:textId="306AAA4C" w:rsidR="00F82C24" w:rsidRDefault="00262021" w:rsidP="00AA4778">
      <w:pPr>
        <w:spacing w:line="259" w:lineRule="auto"/>
        <w:ind w:left="0" w:firstLine="0"/>
        <w:jc w:val="left"/>
      </w:pPr>
      <w:r w:rsidRPr="00262021">
        <w:t>D</w:t>
      </w:r>
      <w:r w:rsidR="00F82C24" w:rsidRPr="00262021">
        <w:t>ate of Report</w:t>
      </w:r>
      <w:r w:rsidR="00F82C24" w:rsidRPr="00971A14">
        <w:t xml:space="preserve">: </w:t>
      </w:r>
      <w:r w:rsidR="007E07B1">
        <w:t>19</w:t>
      </w:r>
      <w:r w:rsidR="00F8204C" w:rsidRPr="009F2A60">
        <w:t xml:space="preserve"> </w:t>
      </w:r>
      <w:r w:rsidR="00812D8E" w:rsidRPr="009F2A60">
        <w:t xml:space="preserve">July </w:t>
      </w:r>
      <w:r w:rsidR="00812D8E">
        <w:t>2019</w:t>
      </w:r>
    </w:p>
    <w:p w14:paraId="498AE5A4" w14:textId="77777777" w:rsidR="00C37BA0" w:rsidRDefault="00C37BA0" w:rsidP="00AA4778">
      <w:pPr>
        <w:spacing w:line="259" w:lineRule="auto"/>
        <w:ind w:left="0" w:firstLine="0"/>
        <w:jc w:val="left"/>
      </w:pPr>
    </w:p>
    <w:p w14:paraId="71CEBC9C" w14:textId="07FCC947" w:rsidR="00C37BA0" w:rsidRDefault="00C37BA0">
      <w:pPr>
        <w:spacing w:after="160" w:line="259" w:lineRule="auto"/>
        <w:ind w:left="0" w:firstLine="0"/>
        <w:jc w:val="left"/>
        <w:rPr>
          <w:b/>
        </w:rPr>
      </w:pPr>
      <w:r w:rsidRPr="00C37BA0">
        <w:rPr>
          <w:b/>
        </w:rPr>
        <w:lastRenderedPageBreak/>
        <w:t>Contents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00"/>
      </w:tblGrid>
      <w:tr w:rsidR="00045FD6" w14:paraId="1210F0F1" w14:textId="77777777" w:rsidTr="00F8204C">
        <w:tc>
          <w:tcPr>
            <w:tcW w:w="6521" w:type="dxa"/>
          </w:tcPr>
          <w:p w14:paraId="005C3C5E" w14:textId="77777777" w:rsidR="00045FD6" w:rsidRDefault="00045FD6" w:rsidP="00347407">
            <w:pPr>
              <w:ind w:left="0" w:firstLine="0"/>
            </w:pPr>
          </w:p>
        </w:tc>
        <w:tc>
          <w:tcPr>
            <w:tcW w:w="2500" w:type="dxa"/>
          </w:tcPr>
          <w:p w14:paraId="3ECD33A1" w14:textId="77777777" w:rsidR="00045FD6" w:rsidRDefault="00045FD6" w:rsidP="00347407">
            <w:pPr>
              <w:ind w:left="0" w:firstLine="0"/>
              <w:jc w:val="center"/>
            </w:pPr>
            <w:r>
              <w:t>Page</w:t>
            </w:r>
          </w:p>
          <w:p w14:paraId="6D849339" w14:textId="3AF75D90" w:rsidR="00B643E7" w:rsidRDefault="00B643E7" w:rsidP="00347407">
            <w:pPr>
              <w:ind w:left="0" w:firstLine="0"/>
              <w:jc w:val="center"/>
            </w:pPr>
          </w:p>
        </w:tc>
      </w:tr>
      <w:tr w:rsidR="00045FD6" w14:paraId="698406A5" w14:textId="77777777" w:rsidTr="00F8204C">
        <w:tc>
          <w:tcPr>
            <w:tcW w:w="6521" w:type="dxa"/>
          </w:tcPr>
          <w:p w14:paraId="467A5586" w14:textId="571D8224" w:rsidR="00045FD6" w:rsidRDefault="00045FD6" w:rsidP="00347407">
            <w:pPr>
              <w:ind w:left="0" w:firstLine="0"/>
            </w:pPr>
            <w:r w:rsidRPr="00733278">
              <w:rPr>
                <w:b/>
              </w:rPr>
              <w:t>Main Findings</w:t>
            </w:r>
            <w:r w:rsidRPr="00733278">
              <w:t xml:space="preserve"> - Executive Summary</w:t>
            </w:r>
          </w:p>
        </w:tc>
        <w:tc>
          <w:tcPr>
            <w:tcW w:w="2500" w:type="dxa"/>
          </w:tcPr>
          <w:p w14:paraId="5E2FC421" w14:textId="2F8B4871" w:rsidR="00045FD6" w:rsidRDefault="00282503" w:rsidP="00347407">
            <w:pPr>
              <w:ind w:left="0" w:firstLine="0"/>
              <w:jc w:val="center"/>
            </w:pPr>
            <w:r>
              <w:t>4</w:t>
            </w:r>
          </w:p>
        </w:tc>
      </w:tr>
      <w:tr w:rsidR="00045FD6" w14:paraId="7D7B5D30" w14:textId="77777777" w:rsidTr="00F8204C">
        <w:tc>
          <w:tcPr>
            <w:tcW w:w="6521" w:type="dxa"/>
          </w:tcPr>
          <w:p w14:paraId="08FFCDEC" w14:textId="77777777" w:rsidR="00045FD6" w:rsidRDefault="00045FD6" w:rsidP="00347407">
            <w:pPr>
              <w:ind w:left="0" w:firstLine="0"/>
            </w:pPr>
          </w:p>
        </w:tc>
        <w:tc>
          <w:tcPr>
            <w:tcW w:w="2500" w:type="dxa"/>
          </w:tcPr>
          <w:p w14:paraId="588B9260" w14:textId="77777777" w:rsidR="00045FD6" w:rsidRDefault="00045FD6" w:rsidP="00347407">
            <w:pPr>
              <w:ind w:left="0" w:firstLine="0"/>
              <w:jc w:val="center"/>
            </w:pPr>
          </w:p>
        </w:tc>
      </w:tr>
      <w:tr w:rsidR="00045FD6" w14:paraId="531D51BF" w14:textId="77777777" w:rsidTr="00F8204C">
        <w:tc>
          <w:tcPr>
            <w:tcW w:w="6521" w:type="dxa"/>
          </w:tcPr>
          <w:p w14:paraId="00B3055C" w14:textId="77777777" w:rsidR="00045FD6" w:rsidRPr="00733278" w:rsidRDefault="00045FD6" w:rsidP="00DA0078">
            <w:pPr>
              <w:pStyle w:val="ListParagraph"/>
              <w:numPr>
                <w:ilvl w:val="0"/>
                <w:numId w:val="11"/>
              </w:numPr>
              <w:ind w:left="321" w:hanging="321"/>
              <w:rPr>
                <w:b/>
              </w:rPr>
            </w:pPr>
            <w:r w:rsidRPr="00733278">
              <w:rPr>
                <w:b/>
              </w:rPr>
              <w:t>Introduction and Background</w:t>
            </w:r>
          </w:p>
        </w:tc>
        <w:tc>
          <w:tcPr>
            <w:tcW w:w="2500" w:type="dxa"/>
          </w:tcPr>
          <w:p w14:paraId="6EE144E7" w14:textId="3F84FFE6" w:rsidR="00045FD6" w:rsidRDefault="00282503" w:rsidP="00347407">
            <w:pPr>
              <w:ind w:left="0" w:firstLine="0"/>
              <w:jc w:val="center"/>
            </w:pPr>
            <w:r>
              <w:t>4</w:t>
            </w:r>
          </w:p>
        </w:tc>
      </w:tr>
      <w:tr w:rsidR="00045FD6" w14:paraId="4753305B" w14:textId="77777777" w:rsidTr="00F8204C">
        <w:tc>
          <w:tcPr>
            <w:tcW w:w="6521" w:type="dxa"/>
          </w:tcPr>
          <w:p w14:paraId="26D5ED1F" w14:textId="0E00CD13" w:rsidR="00045FD6" w:rsidRDefault="00A12E79" w:rsidP="00DA0078">
            <w:pPr>
              <w:pStyle w:val="ListParagraph"/>
              <w:numPr>
                <w:ilvl w:val="0"/>
                <w:numId w:val="12"/>
              </w:numPr>
              <w:rPr>
                <w:lang w:eastAsia="en-US"/>
              </w:rPr>
            </w:pPr>
            <w:r>
              <w:rPr>
                <w:lang w:eastAsia="en-US"/>
              </w:rPr>
              <w:t>Dartmouth Park</w:t>
            </w:r>
            <w:r w:rsidR="00045FD6">
              <w:rPr>
                <w:lang w:eastAsia="en-US"/>
              </w:rPr>
              <w:t xml:space="preserve"> Neighbourhood Plan </w:t>
            </w:r>
            <w:r w:rsidR="00F8204C">
              <w:rPr>
                <w:lang w:eastAsia="en-US"/>
              </w:rPr>
              <w:t xml:space="preserve">(DPNP) </w:t>
            </w:r>
            <w:r w:rsidR="00A42C8A">
              <w:rPr>
                <w:lang w:eastAsia="en-US"/>
              </w:rPr>
              <w:t>20</w:t>
            </w:r>
            <w:r>
              <w:rPr>
                <w:lang w:eastAsia="en-US"/>
              </w:rPr>
              <w:t>19</w:t>
            </w:r>
            <w:r w:rsidR="00045FD6" w:rsidRPr="00A42C8A">
              <w:rPr>
                <w:lang w:eastAsia="en-US"/>
              </w:rPr>
              <w:t xml:space="preserve"> – </w:t>
            </w:r>
            <w:r w:rsidR="00A42C8A" w:rsidRPr="00A42C8A">
              <w:rPr>
                <w:lang w:eastAsia="en-US"/>
              </w:rPr>
              <w:t>20</w:t>
            </w:r>
            <w:r>
              <w:rPr>
                <w:lang w:eastAsia="en-US"/>
              </w:rPr>
              <w:t>34</w:t>
            </w:r>
          </w:p>
        </w:tc>
        <w:tc>
          <w:tcPr>
            <w:tcW w:w="2500" w:type="dxa"/>
          </w:tcPr>
          <w:p w14:paraId="77F684D7" w14:textId="529711A3" w:rsidR="00045FD6" w:rsidRDefault="00282503" w:rsidP="00347407">
            <w:pPr>
              <w:ind w:left="0" w:firstLine="0"/>
              <w:jc w:val="center"/>
            </w:pPr>
            <w:r>
              <w:t>4</w:t>
            </w:r>
          </w:p>
        </w:tc>
      </w:tr>
      <w:tr w:rsidR="00045FD6" w14:paraId="0EE725FD" w14:textId="77777777" w:rsidTr="00F8204C">
        <w:tc>
          <w:tcPr>
            <w:tcW w:w="6521" w:type="dxa"/>
          </w:tcPr>
          <w:p w14:paraId="5D72DD76" w14:textId="77777777" w:rsidR="00045FD6" w:rsidRDefault="00045FD6" w:rsidP="00DA0078">
            <w:pPr>
              <w:pStyle w:val="ListParagraph"/>
              <w:numPr>
                <w:ilvl w:val="0"/>
                <w:numId w:val="5"/>
              </w:numPr>
            </w:pPr>
            <w:r w:rsidRPr="00733278">
              <w:t>The Independent Examiner</w:t>
            </w:r>
          </w:p>
        </w:tc>
        <w:tc>
          <w:tcPr>
            <w:tcW w:w="2500" w:type="dxa"/>
          </w:tcPr>
          <w:p w14:paraId="1AA6DFDF" w14:textId="11A2F3DC" w:rsidR="00045FD6" w:rsidRDefault="00282503" w:rsidP="00347407">
            <w:pPr>
              <w:ind w:left="0" w:firstLine="0"/>
              <w:jc w:val="center"/>
            </w:pPr>
            <w:r>
              <w:t>5</w:t>
            </w:r>
          </w:p>
        </w:tc>
      </w:tr>
      <w:tr w:rsidR="00045FD6" w14:paraId="6EC45734" w14:textId="77777777" w:rsidTr="00F8204C">
        <w:tc>
          <w:tcPr>
            <w:tcW w:w="6521" w:type="dxa"/>
          </w:tcPr>
          <w:p w14:paraId="54A90252" w14:textId="77777777" w:rsidR="00045FD6" w:rsidRDefault="00045FD6" w:rsidP="00DA0078">
            <w:pPr>
              <w:pStyle w:val="ListParagraph"/>
              <w:numPr>
                <w:ilvl w:val="0"/>
                <w:numId w:val="5"/>
              </w:numPr>
              <w:rPr>
                <w:lang w:eastAsia="en-US"/>
              </w:rPr>
            </w:pPr>
            <w:r>
              <w:rPr>
                <w:lang w:eastAsia="en-US"/>
              </w:rPr>
              <w:t>The Scope of the Examination</w:t>
            </w:r>
          </w:p>
        </w:tc>
        <w:tc>
          <w:tcPr>
            <w:tcW w:w="2500" w:type="dxa"/>
          </w:tcPr>
          <w:p w14:paraId="72CAF275" w14:textId="39219A0D" w:rsidR="00045FD6" w:rsidRDefault="00282503" w:rsidP="00347407">
            <w:pPr>
              <w:ind w:left="0" w:firstLine="0"/>
              <w:jc w:val="center"/>
            </w:pPr>
            <w:r>
              <w:t>5</w:t>
            </w:r>
          </w:p>
        </w:tc>
      </w:tr>
      <w:tr w:rsidR="00045FD6" w14:paraId="466BC6AA" w14:textId="77777777" w:rsidTr="00F8204C">
        <w:tc>
          <w:tcPr>
            <w:tcW w:w="6521" w:type="dxa"/>
          </w:tcPr>
          <w:p w14:paraId="7D526AE3" w14:textId="77777777" w:rsidR="00045FD6" w:rsidRDefault="00045FD6" w:rsidP="00DA0078">
            <w:pPr>
              <w:pStyle w:val="ListParagraph"/>
              <w:numPr>
                <w:ilvl w:val="0"/>
                <w:numId w:val="5"/>
              </w:numPr>
              <w:rPr>
                <w:lang w:eastAsia="en-US"/>
              </w:rPr>
            </w:pPr>
            <w:r>
              <w:rPr>
                <w:lang w:eastAsia="en-US"/>
              </w:rPr>
              <w:t>The Basic Conditions</w:t>
            </w:r>
          </w:p>
        </w:tc>
        <w:tc>
          <w:tcPr>
            <w:tcW w:w="2500" w:type="dxa"/>
          </w:tcPr>
          <w:p w14:paraId="5DDB7030" w14:textId="2F380A82" w:rsidR="00045FD6" w:rsidRDefault="00282503" w:rsidP="00347407">
            <w:pPr>
              <w:ind w:left="0" w:firstLine="0"/>
              <w:jc w:val="center"/>
            </w:pPr>
            <w:r>
              <w:t>6</w:t>
            </w:r>
          </w:p>
        </w:tc>
      </w:tr>
      <w:tr w:rsidR="00045FD6" w14:paraId="056BFAD0" w14:textId="77777777" w:rsidTr="00F8204C">
        <w:tc>
          <w:tcPr>
            <w:tcW w:w="6521" w:type="dxa"/>
          </w:tcPr>
          <w:p w14:paraId="2FB150CF" w14:textId="77777777" w:rsidR="00045FD6" w:rsidRDefault="00045FD6" w:rsidP="00347407">
            <w:pPr>
              <w:pStyle w:val="ListParagraph"/>
              <w:ind w:firstLine="0"/>
              <w:rPr>
                <w:lang w:eastAsia="en-US"/>
              </w:rPr>
            </w:pPr>
          </w:p>
        </w:tc>
        <w:tc>
          <w:tcPr>
            <w:tcW w:w="2500" w:type="dxa"/>
          </w:tcPr>
          <w:p w14:paraId="4075E200" w14:textId="77777777" w:rsidR="00045FD6" w:rsidRDefault="00045FD6" w:rsidP="00347407">
            <w:pPr>
              <w:ind w:left="0" w:firstLine="0"/>
              <w:jc w:val="center"/>
            </w:pPr>
          </w:p>
        </w:tc>
      </w:tr>
      <w:tr w:rsidR="00045FD6" w14:paraId="08B719A9" w14:textId="77777777" w:rsidTr="00F8204C">
        <w:tc>
          <w:tcPr>
            <w:tcW w:w="6521" w:type="dxa"/>
          </w:tcPr>
          <w:p w14:paraId="1A81A4C1" w14:textId="77777777" w:rsidR="00045FD6" w:rsidRPr="00733278" w:rsidRDefault="00045FD6" w:rsidP="00DA0078">
            <w:pPr>
              <w:pStyle w:val="ListParagraph"/>
              <w:numPr>
                <w:ilvl w:val="0"/>
                <w:numId w:val="11"/>
              </w:numPr>
              <w:ind w:left="321" w:hanging="284"/>
              <w:rPr>
                <w:b/>
                <w:lang w:eastAsia="en-US"/>
              </w:rPr>
            </w:pPr>
            <w:r w:rsidRPr="00733278">
              <w:rPr>
                <w:b/>
                <w:lang w:eastAsia="en-US"/>
              </w:rPr>
              <w:t xml:space="preserve">Approach to the Examination </w:t>
            </w:r>
          </w:p>
        </w:tc>
        <w:tc>
          <w:tcPr>
            <w:tcW w:w="2500" w:type="dxa"/>
          </w:tcPr>
          <w:p w14:paraId="7A9A3383" w14:textId="27028490" w:rsidR="00045FD6" w:rsidRDefault="00282503" w:rsidP="00347407">
            <w:pPr>
              <w:ind w:left="0" w:firstLine="0"/>
              <w:jc w:val="center"/>
            </w:pPr>
            <w:r>
              <w:t>7</w:t>
            </w:r>
          </w:p>
        </w:tc>
      </w:tr>
      <w:tr w:rsidR="00045FD6" w14:paraId="10FFC080" w14:textId="77777777" w:rsidTr="00F8204C">
        <w:tc>
          <w:tcPr>
            <w:tcW w:w="6521" w:type="dxa"/>
          </w:tcPr>
          <w:p w14:paraId="73601F9D" w14:textId="77777777" w:rsidR="00045FD6" w:rsidRDefault="00045FD6" w:rsidP="00DA0078">
            <w:pPr>
              <w:pStyle w:val="ListParagraph"/>
              <w:numPr>
                <w:ilvl w:val="0"/>
                <w:numId w:val="4"/>
              </w:numPr>
              <w:rPr>
                <w:lang w:eastAsia="en-US"/>
              </w:rPr>
            </w:pPr>
            <w:r>
              <w:rPr>
                <w:lang w:eastAsia="en-US"/>
              </w:rPr>
              <w:t>Planning Policy Context</w:t>
            </w:r>
          </w:p>
        </w:tc>
        <w:tc>
          <w:tcPr>
            <w:tcW w:w="2500" w:type="dxa"/>
          </w:tcPr>
          <w:p w14:paraId="49A9C538" w14:textId="074B7267" w:rsidR="00045FD6" w:rsidRDefault="00282503" w:rsidP="00347407">
            <w:pPr>
              <w:ind w:left="0" w:firstLine="0"/>
              <w:jc w:val="center"/>
            </w:pPr>
            <w:r>
              <w:t>7</w:t>
            </w:r>
          </w:p>
        </w:tc>
      </w:tr>
      <w:tr w:rsidR="00045FD6" w14:paraId="765897C6" w14:textId="77777777" w:rsidTr="00F8204C">
        <w:tc>
          <w:tcPr>
            <w:tcW w:w="6521" w:type="dxa"/>
          </w:tcPr>
          <w:p w14:paraId="3E88A918" w14:textId="77777777" w:rsidR="00045FD6" w:rsidRDefault="00045FD6" w:rsidP="00DA0078">
            <w:pPr>
              <w:pStyle w:val="ListParagraph"/>
              <w:numPr>
                <w:ilvl w:val="0"/>
                <w:numId w:val="4"/>
              </w:numPr>
              <w:rPr>
                <w:lang w:eastAsia="en-US"/>
              </w:rPr>
            </w:pPr>
            <w:r>
              <w:rPr>
                <w:lang w:eastAsia="en-US"/>
              </w:rPr>
              <w:t>Submitted Documents</w:t>
            </w:r>
          </w:p>
        </w:tc>
        <w:tc>
          <w:tcPr>
            <w:tcW w:w="2500" w:type="dxa"/>
          </w:tcPr>
          <w:p w14:paraId="1BCBD935" w14:textId="211FADEE" w:rsidR="00045FD6" w:rsidRDefault="00481003" w:rsidP="00347407">
            <w:pPr>
              <w:ind w:left="0" w:firstLine="0"/>
              <w:jc w:val="center"/>
            </w:pPr>
            <w:r>
              <w:t>7</w:t>
            </w:r>
          </w:p>
        </w:tc>
      </w:tr>
      <w:tr w:rsidR="00045FD6" w14:paraId="08AF3570" w14:textId="77777777" w:rsidTr="00F8204C">
        <w:tc>
          <w:tcPr>
            <w:tcW w:w="6521" w:type="dxa"/>
          </w:tcPr>
          <w:p w14:paraId="3FC378BF" w14:textId="77777777" w:rsidR="00045FD6" w:rsidRDefault="00045FD6" w:rsidP="00DA0078">
            <w:pPr>
              <w:pStyle w:val="ListParagraph"/>
              <w:numPr>
                <w:ilvl w:val="0"/>
                <w:numId w:val="4"/>
              </w:numPr>
              <w:rPr>
                <w:lang w:eastAsia="en-US"/>
              </w:rPr>
            </w:pPr>
            <w:r>
              <w:rPr>
                <w:lang w:eastAsia="en-US"/>
              </w:rPr>
              <w:t>Site Visit</w:t>
            </w:r>
          </w:p>
        </w:tc>
        <w:tc>
          <w:tcPr>
            <w:tcW w:w="2500" w:type="dxa"/>
          </w:tcPr>
          <w:p w14:paraId="48FC0DEE" w14:textId="24C03D7A" w:rsidR="00045FD6" w:rsidRDefault="00481003" w:rsidP="00347407">
            <w:pPr>
              <w:ind w:left="0" w:firstLine="0"/>
              <w:jc w:val="center"/>
            </w:pPr>
            <w:r>
              <w:t>8</w:t>
            </w:r>
          </w:p>
        </w:tc>
      </w:tr>
      <w:tr w:rsidR="00045FD6" w14:paraId="31A7B0D1" w14:textId="77777777" w:rsidTr="00F8204C">
        <w:tc>
          <w:tcPr>
            <w:tcW w:w="6521" w:type="dxa"/>
          </w:tcPr>
          <w:p w14:paraId="44A1B239" w14:textId="4309C3D2" w:rsidR="00045FD6" w:rsidRDefault="00045FD6" w:rsidP="00812D8E">
            <w:pPr>
              <w:pStyle w:val="ListParagraph"/>
              <w:numPr>
                <w:ilvl w:val="0"/>
                <w:numId w:val="4"/>
              </w:numPr>
              <w:jc w:val="left"/>
              <w:rPr>
                <w:lang w:eastAsia="en-US"/>
              </w:rPr>
            </w:pPr>
            <w:r>
              <w:rPr>
                <w:lang w:eastAsia="en-US"/>
              </w:rPr>
              <w:t xml:space="preserve">Written Representations </w:t>
            </w:r>
            <w:r w:rsidR="00812D8E">
              <w:rPr>
                <w:lang w:eastAsia="en-US"/>
              </w:rPr>
              <w:t xml:space="preserve">with </w:t>
            </w:r>
            <w:r>
              <w:rPr>
                <w:lang w:eastAsia="en-US"/>
              </w:rPr>
              <w:t xml:space="preserve">or </w:t>
            </w:r>
            <w:r w:rsidR="00812D8E">
              <w:rPr>
                <w:lang w:eastAsia="en-US"/>
              </w:rPr>
              <w:t xml:space="preserve">without </w:t>
            </w:r>
            <w:r>
              <w:rPr>
                <w:lang w:eastAsia="en-US"/>
              </w:rPr>
              <w:t>Public Hearing</w:t>
            </w:r>
          </w:p>
        </w:tc>
        <w:tc>
          <w:tcPr>
            <w:tcW w:w="2500" w:type="dxa"/>
          </w:tcPr>
          <w:p w14:paraId="0A3F18D1" w14:textId="5D2E0F2C" w:rsidR="00045FD6" w:rsidRDefault="00481003" w:rsidP="00347407">
            <w:pPr>
              <w:ind w:left="0" w:firstLine="0"/>
              <w:jc w:val="center"/>
            </w:pPr>
            <w:r>
              <w:t>8</w:t>
            </w:r>
          </w:p>
        </w:tc>
      </w:tr>
      <w:tr w:rsidR="00045FD6" w14:paraId="203CC48D" w14:textId="77777777" w:rsidTr="00F8204C">
        <w:tc>
          <w:tcPr>
            <w:tcW w:w="6521" w:type="dxa"/>
          </w:tcPr>
          <w:p w14:paraId="0936FFD2" w14:textId="77777777" w:rsidR="00045FD6" w:rsidRDefault="00045FD6" w:rsidP="00DA0078">
            <w:pPr>
              <w:pStyle w:val="ListParagraph"/>
              <w:numPr>
                <w:ilvl w:val="0"/>
                <w:numId w:val="4"/>
              </w:numPr>
              <w:rPr>
                <w:lang w:eastAsia="en-US"/>
              </w:rPr>
            </w:pPr>
            <w:r>
              <w:rPr>
                <w:lang w:eastAsia="en-US"/>
              </w:rPr>
              <w:t>Modifications</w:t>
            </w:r>
          </w:p>
        </w:tc>
        <w:tc>
          <w:tcPr>
            <w:tcW w:w="2500" w:type="dxa"/>
          </w:tcPr>
          <w:p w14:paraId="1E00D01E" w14:textId="30BAB341" w:rsidR="00045FD6" w:rsidRDefault="00481003" w:rsidP="00347407">
            <w:pPr>
              <w:ind w:left="0" w:firstLine="0"/>
              <w:jc w:val="center"/>
            </w:pPr>
            <w:r>
              <w:t>8</w:t>
            </w:r>
          </w:p>
        </w:tc>
      </w:tr>
      <w:tr w:rsidR="00045FD6" w14:paraId="03FD1D5C" w14:textId="77777777" w:rsidTr="00F8204C">
        <w:tc>
          <w:tcPr>
            <w:tcW w:w="6521" w:type="dxa"/>
          </w:tcPr>
          <w:p w14:paraId="564D0ACC" w14:textId="77777777" w:rsidR="00045FD6" w:rsidRDefault="00045FD6" w:rsidP="00347407">
            <w:pPr>
              <w:pStyle w:val="ListParagraph"/>
              <w:ind w:firstLine="0"/>
              <w:rPr>
                <w:lang w:eastAsia="en-US"/>
              </w:rPr>
            </w:pPr>
          </w:p>
        </w:tc>
        <w:tc>
          <w:tcPr>
            <w:tcW w:w="2500" w:type="dxa"/>
          </w:tcPr>
          <w:p w14:paraId="64A40913" w14:textId="77777777" w:rsidR="00045FD6" w:rsidRDefault="00045FD6" w:rsidP="00347407">
            <w:pPr>
              <w:ind w:left="0" w:firstLine="0"/>
              <w:jc w:val="center"/>
            </w:pPr>
          </w:p>
        </w:tc>
      </w:tr>
      <w:tr w:rsidR="00045FD6" w14:paraId="1CE9C81A" w14:textId="77777777" w:rsidTr="00F8204C">
        <w:tc>
          <w:tcPr>
            <w:tcW w:w="6521" w:type="dxa"/>
          </w:tcPr>
          <w:p w14:paraId="205C04C7" w14:textId="77777777" w:rsidR="00045FD6" w:rsidRPr="00733278" w:rsidRDefault="00045FD6" w:rsidP="00DA0078">
            <w:pPr>
              <w:pStyle w:val="ListParagraph"/>
              <w:numPr>
                <w:ilvl w:val="0"/>
                <w:numId w:val="11"/>
              </w:numPr>
              <w:spacing w:line="256" w:lineRule="auto"/>
              <w:ind w:left="321" w:hanging="284"/>
              <w:jc w:val="left"/>
              <w:rPr>
                <w:b/>
                <w:lang w:eastAsia="en-US"/>
              </w:rPr>
            </w:pPr>
            <w:r>
              <w:rPr>
                <w:b/>
                <w:lang w:eastAsia="en-US"/>
              </w:rPr>
              <w:t>Procedural Compliance and Human Rights</w:t>
            </w:r>
          </w:p>
        </w:tc>
        <w:tc>
          <w:tcPr>
            <w:tcW w:w="2500" w:type="dxa"/>
          </w:tcPr>
          <w:p w14:paraId="052FFC2C" w14:textId="7160E67C" w:rsidR="00045FD6" w:rsidRDefault="00481003" w:rsidP="00347407">
            <w:pPr>
              <w:ind w:left="0" w:firstLine="0"/>
              <w:jc w:val="center"/>
            </w:pPr>
            <w:r>
              <w:t>8</w:t>
            </w:r>
          </w:p>
        </w:tc>
      </w:tr>
      <w:tr w:rsidR="00045FD6" w14:paraId="11386757" w14:textId="77777777" w:rsidTr="00F8204C">
        <w:tc>
          <w:tcPr>
            <w:tcW w:w="6521" w:type="dxa"/>
          </w:tcPr>
          <w:p w14:paraId="4FAE560D" w14:textId="77777777" w:rsidR="00045FD6" w:rsidRPr="00733278" w:rsidRDefault="00045FD6" w:rsidP="00DA0078">
            <w:pPr>
              <w:pStyle w:val="ListParagraph"/>
              <w:numPr>
                <w:ilvl w:val="0"/>
                <w:numId w:val="3"/>
              </w:numPr>
              <w:jc w:val="left"/>
              <w:rPr>
                <w:lang w:eastAsia="en-US"/>
              </w:rPr>
            </w:pPr>
            <w:r>
              <w:rPr>
                <w:lang w:eastAsia="en-US"/>
              </w:rPr>
              <w:t>Qualifying Body and Neighbourhood Plan Area</w:t>
            </w:r>
          </w:p>
        </w:tc>
        <w:tc>
          <w:tcPr>
            <w:tcW w:w="2500" w:type="dxa"/>
          </w:tcPr>
          <w:p w14:paraId="6E280AEF" w14:textId="1723A375" w:rsidR="00045FD6" w:rsidRDefault="00481003" w:rsidP="00347407">
            <w:pPr>
              <w:ind w:left="0" w:firstLine="0"/>
              <w:jc w:val="center"/>
            </w:pPr>
            <w:r>
              <w:t>8</w:t>
            </w:r>
          </w:p>
        </w:tc>
      </w:tr>
      <w:tr w:rsidR="00045FD6" w14:paraId="54AF7CFF" w14:textId="77777777" w:rsidTr="00F8204C">
        <w:tc>
          <w:tcPr>
            <w:tcW w:w="6521" w:type="dxa"/>
          </w:tcPr>
          <w:p w14:paraId="3BE13977" w14:textId="77777777" w:rsidR="00045FD6" w:rsidRPr="00733278" w:rsidRDefault="00045FD6" w:rsidP="00DA0078">
            <w:pPr>
              <w:pStyle w:val="ListParagraph"/>
              <w:numPr>
                <w:ilvl w:val="0"/>
                <w:numId w:val="3"/>
              </w:numPr>
              <w:jc w:val="left"/>
              <w:rPr>
                <w:lang w:eastAsia="en-US"/>
              </w:rPr>
            </w:pPr>
            <w:r>
              <w:rPr>
                <w:lang w:eastAsia="en-US"/>
              </w:rPr>
              <w:t>Plan Period</w:t>
            </w:r>
          </w:p>
        </w:tc>
        <w:tc>
          <w:tcPr>
            <w:tcW w:w="2500" w:type="dxa"/>
          </w:tcPr>
          <w:p w14:paraId="4A66614C" w14:textId="2815D3D8" w:rsidR="00045FD6" w:rsidRDefault="006B36DA" w:rsidP="00347407">
            <w:pPr>
              <w:ind w:left="0" w:firstLine="0"/>
              <w:jc w:val="center"/>
            </w:pPr>
            <w:r>
              <w:t>9</w:t>
            </w:r>
          </w:p>
        </w:tc>
      </w:tr>
      <w:tr w:rsidR="00045FD6" w14:paraId="56301ED0" w14:textId="77777777" w:rsidTr="00F8204C">
        <w:tc>
          <w:tcPr>
            <w:tcW w:w="6521" w:type="dxa"/>
          </w:tcPr>
          <w:p w14:paraId="6B5B1B0D" w14:textId="77777777" w:rsidR="00045FD6" w:rsidRPr="00733278" w:rsidRDefault="00045FD6" w:rsidP="00DA0078">
            <w:pPr>
              <w:pStyle w:val="ListParagraph"/>
              <w:numPr>
                <w:ilvl w:val="0"/>
                <w:numId w:val="3"/>
              </w:numPr>
              <w:jc w:val="left"/>
              <w:rPr>
                <w:lang w:eastAsia="en-US"/>
              </w:rPr>
            </w:pPr>
            <w:r>
              <w:rPr>
                <w:lang w:eastAsia="en-US"/>
              </w:rPr>
              <w:t>Neighbourhood Plan Preparation and Consultation</w:t>
            </w:r>
          </w:p>
        </w:tc>
        <w:tc>
          <w:tcPr>
            <w:tcW w:w="2500" w:type="dxa"/>
          </w:tcPr>
          <w:p w14:paraId="2129A874" w14:textId="08061999" w:rsidR="00045FD6" w:rsidRDefault="006B36DA" w:rsidP="00347407">
            <w:pPr>
              <w:ind w:left="0" w:firstLine="0"/>
              <w:jc w:val="center"/>
            </w:pPr>
            <w:r>
              <w:t>9</w:t>
            </w:r>
          </w:p>
        </w:tc>
      </w:tr>
      <w:tr w:rsidR="00045FD6" w14:paraId="224042EF" w14:textId="77777777" w:rsidTr="00F8204C">
        <w:tc>
          <w:tcPr>
            <w:tcW w:w="6521" w:type="dxa"/>
          </w:tcPr>
          <w:p w14:paraId="0F1B0601" w14:textId="77777777" w:rsidR="00045FD6" w:rsidRPr="00733278" w:rsidRDefault="00045FD6" w:rsidP="00DA0078">
            <w:pPr>
              <w:pStyle w:val="ListParagraph"/>
              <w:numPr>
                <w:ilvl w:val="0"/>
                <w:numId w:val="3"/>
              </w:numPr>
              <w:jc w:val="left"/>
              <w:rPr>
                <w:lang w:eastAsia="en-US"/>
              </w:rPr>
            </w:pPr>
            <w:r>
              <w:rPr>
                <w:lang w:eastAsia="en-US"/>
              </w:rPr>
              <w:t>Development and Use of Land</w:t>
            </w:r>
          </w:p>
        </w:tc>
        <w:tc>
          <w:tcPr>
            <w:tcW w:w="2500" w:type="dxa"/>
          </w:tcPr>
          <w:p w14:paraId="1AC2122F" w14:textId="3FCF6E32" w:rsidR="00045FD6" w:rsidRDefault="006B36DA" w:rsidP="00347407">
            <w:pPr>
              <w:ind w:left="0" w:firstLine="0"/>
              <w:jc w:val="center"/>
            </w:pPr>
            <w:r>
              <w:t>9</w:t>
            </w:r>
          </w:p>
        </w:tc>
      </w:tr>
      <w:tr w:rsidR="00045FD6" w14:paraId="2AF84F26" w14:textId="77777777" w:rsidTr="00F8204C">
        <w:tc>
          <w:tcPr>
            <w:tcW w:w="6521" w:type="dxa"/>
          </w:tcPr>
          <w:p w14:paraId="16548499" w14:textId="77777777" w:rsidR="00045FD6" w:rsidRDefault="00045FD6" w:rsidP="00DA0078">
            <w:pPr>
              <w:pStyle w:val="ListParagraph"/>
              <w:numPr>
                <w:ilvl w:val="0"/>
                <w:numId w:val="3"/>
              </w:numPr>
              <w:spacing w:line="256" w:lineRule="auto"/>
              <w:jc w:val="left"/>
              <w:rPr>
                <w:b/>
                <w:lang w:eastAsia="en-US"/>
              </w:rPr>
            </w:pPr>
            <w:r>
              <w:rPr>
                <w:lang w:eastAsia="en-US"/>
              </w:rPr>
              <w:t>Excluded Development</w:t>
            </w:r>
          </w:p>
        </w:tc>
        <w:tc>
          <w:tcPr>
            <w:tcW w:w="2500" w:type="dxa"/>
          </w:tcPr>
          <w:p w14:paraId="436F96C8" w14:textId="6C27B9C7" w:rsidR="00045FD6" w:rsidRDefault="006B36DA" w:rsidP="00347407">
            <w:pPr>
              <w:ind w:left="0" w:firstLine="0"/>
              <w:jc w:val="center"/>
            </w:pPr>
            <w:r>
              <w:t>10</w:t>
            </w:r>
          </w:p>
        </w:tc>
      </w:tr>
      <w:tr w:rsidR="00045FD6" w14:paraId="3D39626E" w14:textId="77777777" w:rsidTr="00F8204C">
        <w:tc>
          <w:tcPr>
            <w:tcW w:w="6521" w:type="dxa"/>
          </w:tcPr>
          <w:p w14:paraId="13012C24" w14:textId="77777777" w:rsidR="00045FD6" w:rsidRDefault="00045FD6" w:rsidP="00DA0078">
            <w:pPr>
              <w:pStyle w:val="ListParagraph"/>
              <w:numPr>
                <w:ilvl w:val="0"/>
                <w:numId w:val="3"/>
              </w:numPr>
              <w:jc w:val="left"/>
              <w:rPr>
                <w:lang w:eastAsia="en-US"/>
              </w:rPr>
            </w:pPr>
            <w:r>
              <w:rPr>
                <w:lang w:eastAsia="en-US"/>
              </w:rPr>
              <w:t>Human Rights</w:t>
            </w:r>
          </w:p>
        </w:tc>
        <w:tc>
          <w:tcPr>
            <w:tcW w:w="2500" w:type="dxa"/>
          </w:tcPr>
          <w:p w14:paraId="2F07118F" w14:textId="026CE9C9" w:rsidR="00045FD6" w:rsidRDefault="006B36DA" w:rsidP="00347407">
            <w:pPr>
              <w:ind w:left="0" w:firstLine="0"/>
              <w:jc w:val="center"/>
            </w:pPr>
            <w:r>
              <w:t>10</w:t>
            </w:r>
          </w:p>
        </w:tc>
      </w:tr>
      <w:tr w:rsidR="00045FD6" w14:paraId="7DFF91DD" w14:textId="77777777" w:rsidTr="00F8204C">
        <w:tc>
          <w:tcPr>
            <w:tcW w:w="6521" w:type="dxa"/>
          </w:tcPr>
          <w:p w14:paraId="5D81FABD" w14:textId="77777777" w:rsidR="00045FD6" w:rsidRDefault="00045FD6" w:rsidP="00347407">
            <w:pPr>
              <w:pStyle w:val="ListParagraph"/>
              <w:ind w:firstLine="0"/>
              <w:jc w:val="left"/>
              <w:rPr>
                <w:lang w:eastAsia="en-US"/>
              </w:rPr>
            </w:pPr>
          </w:p>
        </w:tc>
        <w:tc>
          <w:tcPr>
            <w:tcW w:w="2500" w:type="dxa"/>
          </w:tcPr>
          <w:p w14:paraId="5E7D0A43" w14:textId="77777777" w:rsidR="00045FD6" w:rsidRDefault="00045FD6" w:rsidP="00347407">
            <w:pPr>
              <w:ind w:left="0" w:firstLine="0"/>
              <w:jc w:val="center"/>
            </w:pPr>
          </w:p>
        </w:tc>
      </w:tr>
      <w:tr w:rsidR="00045FD6" w14:paraId="2F6F69DF" w14:textId="77777777" w:rsidTr="00F8204C">
        <w:tc>
          <w:tcPr>
            <w:tcW w:w="6521" w:type="dxa"/>
          </w:tcPr>
          <w:p w14:paraId="508BD035" w14:textId="77777777" w:rsidR="00045FD6" w:rsidRPr="00733278" w:rsidRDefault="00045FD6" w:rsidP="00DA0078">
            <w:pPr>
              <w:pStyle w:val="ListParagraph"/>
              <w:numPr>
                <w:ilvl w:val="0"/>
                <w:numId w:val="11"/>
              </w:numPr>
              <w:spacing w:line="256" w:lineRule="auto"/>
              <w:ind w:left="321" w:hanging="284"/>
              <w:jc w:val="left"/>
              <w:rPr>
                <w:b/>
                <w:lang w:eastAsia="en-US"/>
              </w:rPr>
            </w:pPr>
            <w:r>
              <w:rPr>
                <w:b/>
                <w:lang w:eastAsia="en-US"/>
              </w:rPr>
              <w:t xml:space="preserve">Compliance with the Basic Conditions </w:t>
            </w:r>
          </w:p>
        </w:tc>
        <w:tc>
          <w:tcPr>
            <w:tcW w:w="2500" w:type="dxa"/>
          </w:tcPr>
          <w:p w14:paraId="1EBF6416" w14:textId="3F6B30AF" w:rsidR="00045FD6" w:rsidRDefault="006B36DA" w:rsidP="00347407">
            <w:pPr>
              <w:ind w:left="0" w:firstLine="0"/>
              <w:jc w:val="center"/>
            </w:pPr>
            <w:r>
              <w:t>10</w:t>
            </w:r>
          </w:p>
        </w:tc>
      </w:tr>
      <w:tr w:rsidR="00045FD6" w14:paraId="02994993" w14:textId="77777777" w:rsidTr="00F8204C">
        <w:tc>
          <w:tcPr>
            <w:tcW w:w="6521" w:type="dxa"/>
          </w:tcPr>
          <w:p w14:paraId="603D6D98" w14:textId="77777777" w:rsidR="00045FD6" w:rsidRDefault="00045FD6" w:rsidP="00BB089C">
            <w:pPr>
              <w:pStyle w:val="ListParagraph"/>
              <w:numPr>
                <w:ilvl w:val="0"/>
                <w:numId w:val="16"/>
              </w:numPr>
              <w:jc w:val="left"/>
              <w:rPr>
                <w:lang w:eastAsia="en-US"/>
              </w:rPr>
            </w:pPr>
            <w:r>
              <w:rPr>
                <w:lang w:eastAsia="en-US"/>
              </w:rPr>
              <w:t>EU Obligations</w:t>
            </w:r>
          </w:p>
        </w:tc>
        <w:tc>
          <w:tcPr>
            <w:tcW w:w="2500" w:type="dxa"/>
          </w:tcPr>
          <w:p w14:paraId="2FA25B67" w14:textId="542BD498" w:rsidR="00045FD6" w:rsidRDefault="006B36DA" w:rsidP="00347407">
            <w:pPr>
              <w:ind w:left="0" w:firstLine="0"/>
              <w:jc w:val="center"/>
            </w:pPr>
            <w:r>
              <w:t>10</w:t>
            </w:r>
          </w:p>
        </w:tc>
      </w:tr>
      <w:tr w:rsidR="00045FD6" w14:paraId="00183427" w14:textId="77777777" w:rsidTr="00F8204C">
        <w:tc>
          <w:tcPr>
            <w:tcW w:w="6521" w:type="dxa"/>
          </w:tcPr>
          <w:p w14:paraId="4DA846FF" w14:textId="3688853C" w:rsidR="00BB089C" w:rsidRDefault="00045FD6" w:rsidP="00BB089C">
            <w:pPr>
              <w:pStyle w:val="ListParagraph"/>
              <w:numPr>
                <w:ilvl w:val="0"/>
                <w:numId w:val="16"/>
              </w:numPr>
              <w:jc w:val="left"/>
              <w:rPr>
                <w:lang w:eastAsia="en-US"/>
              </w:rPr>
            </w:pPr>
            <w:r>
              <w:rPr>
                <w:lang w:eastAsia="en-US"/>
              </w:rPr>
              <w:t>Main Issues</w:t>
            </w:r>
          </w:p>
        </w:tc>
        <w:tc>
          <w:tcPr>
            <w:tcW w:w="2500" w:type="dxa"/>
          </w:tcPr>
          <w:p w14:paraId="4BB88020" w14:textId="3DC9D573" w:rsidR="00045FD6" w:rsidRDefault="006B36DA" w:rsidP="00347407">
            <w:pPr>
              <w:ind w:left="0" w:firstLine="0"/>
              <w:jc w:val="center"/>
            </w:pPr>
            <w:r>
              <w:t>10</w:t>
            </w:r>
          </w:p>
        </w:tc>
      </w:tr>
      <w:tr w:rsidR="00FF0E57" w14:paraId="082357D4" w14:textId="77777777" w:rsidTr="00F8204C">
        <w:trPr>
          <w:trHeight w:val="28"/>
        </w:trPr>
        <w:tc>
          <w:tcPr>
            <w:tcW w:w="6521" w:type="dxa"/>
          </w:tcPr>
          <w:p w14:paraId="12ADD2CA" w14:textId="77956375" w:rsidR="00FF0E57" w:rsidRDefault="00BB089C" w:rsidP="00BB089C">
            <w:pPr>
              <w:pStyle w:val="ListParagraph"/>
              <w:numPr>
                <w:ilvl w:val="0"/>
                <w:numId w:val="16"/>
              </w:numPr>
              <w:jc w:val="left"/>
              <w:rPr>
                <w:lang w:eastAsia="en-US"/>
              </w:rPr>
            </w:pPr>
            <w:r>
              <w:rPr>
                <w:lang w:eastAsia="en-US"/>
              </w:rPr>
              <w:t xml:space="preserve">General Issues of </w:t>
            </w:r>
            <w:r w:rsidR="00F8204C">
              <w:rPr>
                <w:lang w:eastAsia="en-US"/>
              </w:rPr>
              <w:t>C</w:t>
            </w:r>
            <w:r>
              <w:rPr>
                <w:lang w:eastAsia="en-US"/>
              </w:rPr>
              <w:t>ompliance</w:t>
            </w:r>
            <w:r w:rsidR="00F8204C">
              <w:rPr>
                <w:lang w:eastAsia="en-US"/>
              </w:rPr>
              <w:t xml:space="preserve"> of the DPNP</w:t>
            </w:r>
          </w:p>
        </w:tc>
        <w:tc>
          <w:tcPr>
            <w:tcW w:w="2500" w:type="dxa"/>
          </w:tcPr>
          <w:p w14:paraId="317C49AE" w14:textId="2957A74F" w:rsidR="00FF0E57" w:rsidRDefault="006B36DA" w:rsidP="00347407">
            <w:pPr>
              <w:ind w:left="0" w:firstLine="0"/>
              <w:jc w:val="center"/>
            </w:pPr>
            <w:r>
              <w:t>11</w:t>
            </w:r>
          </w:p>
        </w:tc>
      </w:tr>
      <w:tr w:rsidR="008E7D93" w14:paraId="6F17BADF" w14:textId="77777777" w:rsidTr="00F8204C">
        <w:trPr>
          <w:trHeight w:val="270"/>
        </w:trPr>
        <w:tc>
          <w:tcPr>
            <w:tcW w:w="6521" w:type="dxa"/>
          </w:tcPr>
          <w:p w14:paraId="5837C7FD" w14:textId="07F955D2" w:rsidR="008E7D93" w:rsidRDefault="008E7D93" w:rsidP="00305B1C">
            <w:pPr>
              <w:pStyle w:val="ListParagraph"/>
              <w:numPr>
                <w:ilvl w:val="0"/>
                <w:numId w:val="18"/>
              </w:numPr>
              <w:jc w:val="left"/>
              <w:rPr>
                <w:lang w:eastAsia="en-US"/>
              </w:rPr>
            </w:pPr>
            <w:r>
              <w:rPr>
                <w:lang w:eastAsia="en-US"/>
              </w:rPr>
              <w:t>National Policy</w:t>
            </w:r>
            <w:r w:rsidR="00305B1C">
              <w:rPr>
                <w:lang w:eastAsia="en-US"/>
              </w:rPr>
              <w:t>,</w:t>
            </w:r>
            <w:r>
              <w:rPr>
                <w:lang w:eastAsia="en-US"/>
              </w:rPr>
              <w:t xml:space="preserve"> Sustainable Development and the Development Plan</w:t>
            </w:r>
          </w:p>
        </w:tc>
        <w:tc>
          <w:tcPr>
            <w:tcW w:w="2500" w:type="dxa"/>
          </w:tcPr>
          <w:p w14:paraId="6F0006F4" w14:textId="35E5E35A" w:rsidR="008E7D93" w:rsidRDefault="006B36DA" w:rsidP="00347407">
            <w:pPr>
              <w:ind w:left="0" w:firstLine="0"/>
              <w:jc w:val="center"/>
            </w:pPr>
            <w:r>
              <w:t>11</w:t>
            </w:r>
          </w:p>
        </w:tc>
      </w:tr>
      <w:tr w:rsidR="008E7D93" w14:paraId="37DF8542" w14:textId="77777777" w:rsidTr="00F8204C">
        <w:trPr>
          <w:trHeight w:val="270"/>
        </w:trPr>
        <w:tc>
          <w:tcPr>
            <w:tcW w:w="6521" w:type="dxa"/>
          </w:tcPr>
          <w:p w14:paraId="558FB188" w14:textId="00790E53" w:rsidR="008E7D93" w:rsidRDefault="008E7D93" w:rsidP="00305B1C">
            <w:pPr>
              <w:pStyle w:val="ListParagraph"/>
              <w:numPr>
                <w:ilvl w:val="0"/>
                <w:numId w:val="19"/>
              </w:numPr>
              <w:jc w:val="left"/>
              <w:rPr>
                <w:lang w:eastAsia="en-US"/>
              </w:rPr>
            </w:pPr>
            <w:r>
              <w:rPr>
                <w:lang w:eastAsia="en-US"/>
              </w:rPr>
              <w:t xml:space="preserve">Specific Issues of </w:t>
            </w:r>
            <w:r w:rsidR="00F8204C">
              <w:rPr>
                <w:lang w:eastAsia="en-US"/>
              </w:rPr>
              <w:t>C</w:t>
            </w:r>
            <w:r>
              <w:rPr>
                <w:lang w:eastAsia="en-US"/>
              </w:rPr>
              <w:t>ompliance</w:t>
            </w:r>
            <w:r w:rsidR="00F8204C">
              <w:rPr>
                <w:lang w:eastAsia="en-US"/>
              </w:rPr>
              <w:t xml:space="preserve"> of the D</w:t>
            </w:r>
            <w:r w:rsidR="009937FF">
              <w:rPr>
                <w:lang w:eastAsia="en-US"/>
              </w:rPr>
              <w:t>PN</w:t>
            </w:r>
            <w:r w:rsidR="00F8204C">
              <w:rPr>
                <w:lang w:eastAsia="en-US"/>
              </w:rPr>
              <w:t>P Policies</w:t>
            </w:r>
          </w:p>
        </w:tc>
        <w:tc>
          <w:tcPr>
            <w:tcW w:w="2500" w:type="dxa"/>
          </w:tcPr>
          <w:p w14:paraId="049A8B52" w14:textId="221FC036" w:rsidR="008E7D93" w:rsidRDefault="006B36DA" w:rsidP="00347407">
            <w:pPr>
              <w:ind w:left="0" w:firstLine="0"/>
              <w:jc w:val="center"/>
            </w:pPr>
            <w:r>
              <w:t>12</w:t>
            </w:r>
          </w:p>
        </w:tc>
      </w:tr>
      <w:tr w:rsidR="00BB089C" w14:paraId="469C9CEC" w14:textId="77777777" w:rsidTr="00F8204C">
        <w:trPr>
          <w:trHeight w:val="79"/>
        </w:trPr>
        <w:tc>
          <w:tcPr>
            <w:tcW w:w="6521" w:type="dxa"/>
          </w:tcPr>
          <w:p w14:paraId="5DCB5400" w14:textId="7856BD4E" w:rsidR="00BB089C" w:rsidRDefault="008E7D93" w:rsidP="00305B1C">
            <w:pPr>
              <w:pStyle w:val="ListParagraph"/>
              <w:numPr>
                <w:ilvl w:val="0"/>
                <w:numId w:val="18"/>
              </w:numPr>
              <w:jc w:val="left"/>
              <w:rPr>
                <w:lang w:eastAsia="en-US"/>
              </w:rPr>
            </w:pPr>
            <w:r>
              <w:rPr>
                <w:lang w:eastAsia="en-US"/>
              </w:rPr>
              <w:t>Introduct</w:t>
            </w:r>
            <w:r w:rsidR="006A7B87">
              <w:rPr>
                <w:lang w:eastAsia="en-US"/>
              </w:rPr>
              <w:t>ion and Vision and Objectives (C</w:t>
            </w:r>
            <w:r>
              <w:rPr>
                <w:lang w:eastAsia="en-US"/>
              </w:rPr>
              <w:t>hapters 1 and 2)</w:t>
            </w:r>
          </w:p>
        </w:tc>
        <w:tc>
          <w:tcPr>
            <w:tcW w:w="2500" w:type="dxa"/>
          </w:tcPr>
          <w:p w14:paraId="5C626A80" w14:textId="0804A536" w:rsidR="00BB089C" w:rsidRDefault="006B36DA" w:rsidP="00347407">
            <w:pPr>
              <w:ind w:left="0" w:firstLine="0"/>
              <w:jc w:val="center"/>
            </w:pPr>
            <w:r>
              <w:t>12</w:t>
            </w:r>
          </w:p>
        </w:tc>
      </w:tr>
      <w:tr w:rsidR="00BB089C" w14:paraId="4EF29996" w14:textId="77777777" w:rsidTr="00F8204C">
        <w:trPr>
          <w:trHeight w:val="79"/>
        </w:trPr>
        <w:tc>
          <w:tcPr>
            <w:tcW w:w="6521" w:type="dxa"/>
          </w:tcPr>
          <w:p w14:paraId="013CDD35" w14:textId="12BEE712" w:rsidR="00BB089C" w:rsidRDefault="00BB089C" w:rsidP="00305B1C">
            <w:pPr>
              <w:pStyle w:val="ListParagraph"/>
              <w:numPr>
                <w:ilvl w:val="0"/>
                <w:numId w:val="18"/>
              </w:numPr>
              <w:jc w:val="left"/>
              <w:rPr>
                <w:lang w:eastAsia="en-US"/>
              </w:rPr>
            </w:pPr>
            <w:r>
              <w:rPr>
                <w:lang w:eastAsia="en-US"/>
              </w:rPr>
              <w:t>Design and Character</w:t>
            </w:r>
          </w:p>
        </w:tc>
        <w:tc>
          <w:tcPr>
            <w:tcW w:w="2500" w:type="dxa"/>
          </w:tcPr>
          <w:p w14:paraId="16FEFB12" w14:textId="45EF58CE" w:rsidR="00BB089C" w:rsidRDefault="006B36DA" w:rsidP="00347407">
            <w:pPr>
              <w:ind w:left="0" w:firstLine="0"/>
              <w:jc w:val="center"/>
            </w:pPr>
            <w:r>
              <w:t>12</w:t>
            </w:r>
          </w:p>
        </w:tc>
      </w:tr>
      <w:tr w:rsidR="00BB089C" w14:paraId="500A4F33" w14:textId="77777777" w:rsidTr="00F8204C">
        <w:trPr>
          <w:trHeight w:val="79"/>
        </w:trPr>
        <w:tc>
          <w:tcPr>
            <w:tcW w:w="6521" w:type="dxa"/>
          </w:tcPr>
          <w:p w14:paraId="4BFAEFBD" w14:textId="3545FB5B" w:rsidR="00BB089C" w:rsidRDefault="00BB089C" w:rsidP="00305B1C">
            <w:pPr>
              <w:pStyle w:val="ListParagraph"/>
              <w:numPr>
                <w:ilvl w:val="0"/>
                <w:numId w:val="18"/>
              </w:numPr>
              <w:jc w:val="left"/>
              <w:rPr>
                <w:lang w:eastAsia="en-US"/>
              </w:rPr>
            </w:pPr>
            <w:r>
              <w:rPr>
                <w:lang w:eastAsia="en-US"/>
              </w:rPr>
              <w:t>Housing</w:t>
            </w:r>
          </w:p>
        </w:tc>
        <w:tc>
          <w:tcPr>
            <w:tcW w:w="2500" w:type="dxa"/>
          </w:tcPr>
          <w:p w14:paraId="74CBF887" w14:textId="412BF04A" w:rsidR="00BB089C" w:rsidRDefault="006B36DA" w:rsidP="00347407">
            <w:pPr>
              <w:ind w:left="0" w:firstLine="0"/>
              <w:jc w:val="center"/>
            </w:pPr>
            <w:r>
              <w:t>13</w:t>
            </w:r>
          </w:p>
        </w:tc>
      </w:tr>
      <w:tr w:rsidR="00BB089C" w14:paraId="448492C6" w14:textId="77777777" w:rsidTr="00F8204C">
        <w:trPr>
          <w:trHeight w:val="79"/>
        </w:trPr>
        <w:tc>
          <w:tcPr>
            <w:tcW w:w="6521" w:type="dxa"/>
          </w:tcPr>
          <w:p w14:paraId="368D309E" w14:textId="508F3F85" w:rsidR="00BB089C" w:rsidRDefault="00BB089C" w:rsidP="00305B1C">
            <w:pPr>
              <w:pStyle w:val="ListParagraph"/>
              <w:numPr>
                <w:ilvl w:val="0"/>
                <w:numId w:val="18"/>
              </w:numPr>
              <w:jc w:val="left"/>
              <w:rPr>
                <w:lang w:eastAsia="en-US"/>
              </w:rPr>
            </w:pPr>
            <w:r>
              <w:rPr>
                <w:lang w:eastAsia="en-US"/>
              </w:rPr>
              <w:t>Community</w:t>
            </w:r>
          </w:p>
        </w:tc>
        <w:tc>
          <w:tcPr>
            <w:tcW w:w="2500" w:type="dxa"/>
          </w:tcPr>
          <w:p w14:paraId="618EF61D" w14:textId="3645A44D" w:rsidR="00BB089C" w:rsidRDefault="006B36DA" w:rsidP="00347407">
            <w:pPr>
              <w:ind w:left="0" w:firstLine="0"/>
              <w:jc w:val="center"/>
            </w:pPr>
            <w:r>
              <w:t>14</w:t>
            </w:r>
          </w:p>
        </w:tc>
      </w:tr>
      <w:tr w:rsidR="00BB089C" w14:paraId="263913F7" w14:textId="77777777" w:rsidTr="00F8204C">
        <w:trPr>
          <w:trHeight w:val="79"/>
        </w:trPr>
        <w:tc>
          <w:tcPr>
            <w:tcW w:w="6521" w:type="dxa"/>
          </w:tcPr>
          <w:p w14:paraId="2CFF8069" w14:textId="7F33475D" w:rsidR="00BB089C" w:rsidRDefault="00BB089C" w:rsidP="00305B1C">
            <w:pPr>
              <w:pStyle w:val="ListParagraph"/>
              <w:numPr>
                <w:ilvl w:val="0"/>
                <w:numId w:val="18"/>
              </w:numPr>
              <w:jc w:val="left"/>
              <w:rPr>
                <w:lang w:eastAsia="en-US"/>
              </w:rPr>
            </w:pPr>
            <w:r>
              <w:rPr>
                <w:lang w:eastAsia="en-US"/>
              </w:rPr>
              <w:t>Neighbourhood Centres and Employment</w:t>
            </w:r>
          </w:p>
        </w:tc>
        <w:tc>
          <w:tcPr>
            <w:tcW w:w="2500" w:type="dxa"/>
          </w:tcPr>
          <w:p w14:paraId="60EE04C0" w14:textId="49FB624E" w:rsidR="00BB089C" w:rsidRDefault="006B36DA" w:rsidP="00347407">
            <w:pPr>
              <w:ind w:left="0" w:firstLine="0"/>
              <w:jc w:val="center"/>
            </w:pPr>
            <w:r>
              <w:t>14</w:t>
            </w:r>
          </w:p>
        </w:tc>
      </w:tr>
      <w:tr w:rsidR="00BB089C" w14:paraId="768B26B6" w14:textId="77777777" w:rsidTr="00F8204C">
        <w:trPr>
          <w:trHeight w:val="79"/>
        </w:trPr>
        <w:tc>
          <w:tcPr>
            <w:tcW w:w="6521" w:type="dxa"/>
          </w:tcPr>
          <w:p w14:paraId="76BFB8E1" w14:textId="1CED9DEE" w:rsidR="00BB089C" w:rsidRDefault="00BB089C" w:rsidP="00305B1C">
            <w:pPr>
              <w:pStyle w:val="ListParagraph"/>
              <w:numPr>
                <w:ilvl w:val="0"/>
                <w:numId w:val="18"/>
              </w:numPr>
              <w:jc w:val="left"/>
              <w:rPr>
                <w:lang w:eastAsia="en-US"/>
              </w:rPr>
            </w:pPr>
            <w:r>
              <w:rPr>
                <w:lang w:eastAsia="en-US"/>
              </w:rPr>
              <w:t>Environment and Sustainability</w:t>
            </w:r>
          </w:p>
        </w:tc>
        <w:tc>
          <w:tcPr>
            <w:tcW w:w="2500" w:type="dxa"/>
          </w:tcPr>
          <w:p w14:paraId="34247AE3" w14:textId="628170F4" w:rsidR="00BB089C" w:rsidRDefault="006B36DA" w:rsidP="00347407">
            <w:pPr>
              <w:ind w:left="0" w:firstLine="0"/>
              <w:jc w:val="center"/>
            </w:pPr>
            <w:r>
              <w:t>15</w:t>
            </w:r>
          </w:p>
        </w:tc>
      </w:tr>
      <w:tr w:rsidR="00BB089C" w14:paraId="36C9C2E9" w14:textId="77777777" w:rsidTr="00F8204C">
        <w:trPr>
          <w:trHeight w:val="79"/>
        </w:trPr>
        <w:tc>
          <w:tcPr>
            <w:tcW w:w="6521" w:type="dxa"/>
          </w:tcPr>
          <w:p w14:paraId="53590290" w14:textId="7A9750C0" w:rsidR="00BB089C" w:rsidRDefault="00092763" w:rsidP="00305B1C">
            <w:pPr>
              <w:pStyle w:val="ListParagraph"/>
              <w:numPr>
                <w:ilvl w:val="0"/>
                <w:numId w:val="18"/>
              </w:numPr>
              <w:jc w:val="left"/>
              <w:rPr>
                <w:lang w:eastAsia="en-US"/>
              </w:rPr>
            </w:pPr>
            <w:r>
              <w:rPr>
                <w:lang w:eastAsia="en-US"/>
              </w:rPr>
              <w:t>Transport and Streets</w:t>
            </w:r>
          </w:p>
        </w:tc>
        <w:tc>
          <w:tcPr>
            <w:tcW w:w="2500" w:type="dxa"/>
          </w:tcPr>
          <w:p w14:paraId="18C41E44" w14:textId="785579E7" w:rsidR="00BB089C" w:rsidRDefault="006B36DA" w:rsidP="00347407">
            <w:pPr>
              <w:ind w:left="0" w:firstLine="0"/>
              <w:jc w:val="center"/>
            </w:pPr>
            <w:r>
              <w:t>16</w:t>
            </w:r>
          </w:p>
        </w:tc>
      </w:tr>
      <w:tr w:rsidR="00BB089C" w14:paraId="1A11BAD5" w14:textId="77777777" w:rsidTr="00F8204C">
        <w:trPr>
          <w:trHeight w:val="79"/>
        </w:trPr>
        <w:tc>
          <w:tcPr>
            <w:tcW w:w="6521" w:type="dxa"/>
          </w:tcPr>
          <w:p w14:paraId="754744ED" w14:textId="2E8E97A8" w:rsidR="00BB089C" w:rsidRDefault="00092763" w:rsidP="00305B1C">
            <w:pPr>
              <w:pStyle w:val="ListParagraph"/>
              <w:numPr>
                <w:ilvl w:val="0"/>
                <w:numId w:val="18"/>
              </w:numPr>
              <w:jc w:val="left"/>
              <w:rPr>
                <w:lang w:eastAsia="en-US"/>
              </w:rPr>
            </w:pPr>
            <w:r>
              <w:rPr>
                <w:lang w:eastAsia="en-US"/>
              </w:rPr>
              <w:t>Specific Neighbourhood Sites</w:t>
            </w:r>
          </w:p>
        </w:tc>
        <w:tc>
          <w:tcPr>
            <w:tcW w:w="2500" w:type="dxa"/>
          </w:tcPr>
          <w:p w14:paraId="4A2C2199" w14:textId="10DF2E9E" w:rsidR="00BB089C" w:rsidRDefault="006B36DA" w:rsidP="00347407">
            <w:pPr>
              <w:ind w:left="0" w:firstLine="0"/>
              <w:jc w:val="center"/>
            </w:pPr>
            <w:r>
              <w:t>17</w:t>
            </w:r>
          </w:p>
        </w:tc>
      </w:tr>
      <w:tr w:rsidR="00BB089C" w14:paraId="08D657C2" w14:textId="77777777" w:rsidTr="00F8204C">
        <w:trPr>
          <w:trHeight w:val="79"/>
        </w:trPr>
        <w:tc>
          <w:tcPr>
            <w:tcW w:w="6521" w:type="dxa"/>
          </w:tcPr>
          <w:p w14:paraId="35394576" w14:textId="71141309" w:rsidR="00BB089C" w:rsidRDefault="008E7D93" w:rsidP="00305B1C">
            <w:pPr>
              <w:pStyle w:val="ListParagraph"/>
              <w:numPr>
                <w:ilvl w:val="0"/>
                <w:numId w:val="18"/>
              </w:numPr>
              <w:jc w:val="left"/>
              <w:rPr>
                <w:lang w:eastAsia="en-US"/>
              </w:rPr>
            </w:pPr>
            <w:r>
              <w:rPr>
                <w:lang w:eastAsia="en-US"/>
              </w:rPr>
              <w:t>Delivery</w:t>
            </w:r>
            <w:r w:rsidR="00F8204C">
              <w:rPr>
                <w:lang w:eastAsia="en-US"/>
              </w:rPr>
              <w:t>,</w:t>
            </w:r>
            <w:r>
              <w:rPr>
                <w:lang w:eastAsia="en-US"/>
              </w:rPr>
              <w:t xml:space="preserve"> Monitoring and </w:t>
            </w:r>
            <w:r w:rsidR="00481003">
              <w:rPr>
                <w:lang w:eastAsia="en-US"/>
              </w:rPr>
              <w:t xml:space="preserve">Future </w:t>
            </w:r>
            <w:r>
              <w:rPr>
                <w:lang w:eastAsia="en-US"/>
              </w:rPr>
              <w:t>Review</w:t>
            </w:r>
          </w:p>
        </w:tc>
        <w:tc>
          <w:tcPr>
            <w:tcW w:w="2500" w:type="dxa"/>
          </w:tcPr>
          <w:p w14:paraId="712A8FAA" w14:textId="27C4A402" w:rsidR="00BB089C" w:rsidRDefault="006B36DA" w:rsidP="00347407">
            <w:pPr>
              <w:ind w:left="0" w:firstLine="0"/>
              <w:jc w:val="center"/>
            </w:pPr>
            <w:r>
              <w:t>18</w:t>
            </w:r>
          </w:p>
        </w:tc>
      </w:tr>
      <w:tr w:rsidR="00FF0E57" w14:paraId="33920E9C" w14:textId="77777777" w:rsidTr="00F8204C">
        <w:trPr>
          <w:trHeight w:val="22"/>
        </w:trPr>
        <w:tc>
          <w:tcPr>
            <w:tcW w:w="6521" w:type="dxa"/>
          </w:tcPr>
          <w:p w14:paraId="43EB2F25" w14:textId="0ECBA281" w:rsidR="00FF0E57" w:rsidRDefault="008E7D93" w:rsidP="008E7D93">
            <w:pPr>
              <w:pStyle w:val="ListParagraph"/>
              <w:numPr>
                <w:ilvl w:val="0"/>
                <w:numId w:val="16"/>
              </w:numPr>
              <w:rPr>
                <w:lang w:eastAsia="en-US"/>
              </w:rPr>
            </w:pPr>
            <w:r>
              <w:rPr>
                <w:lang w:eastAsia="en-US"/>
              </w:rPr>
              <w:t>Clarity of Presentation</w:t>
            </w:r>
          </w:p>
        </w:tc>
        <w:tc>
          <w:tcPr>
            <w:tcW w:w="2500" w:type="dxa"/>
          </w:tcPr>
          <w:p w14:paraId="307C81F3" w14:textId="6F12EDD3" w:rsidR="00FF0E57" w:rsidRDefault="006B36DA" w:rsidP="00347407">
            <w:pPr>
              <w:ind w:left="0" w:firstLine="0"/>
              <w:jc w:val="center"/>
            </w:pPr>
            <w:r>
              <w:t>18</w:t>
            </w:r>
          </w:p>
        </w:tc>
      </w:tr>
      <w:tr w:rsidR="00FF0E57" w14:paraId="43380A56" w14:textId="77777777" w:rsidTr="00F8204C">
        <w:trPr>
          <w:trHeight w:val="22"/>
        </w:trPr>
        <w:tc>
          <w:tcPr>
            <w:tcW w:w="6521" w:type="dxa"/>
          </w:tcPr>
          <w:p w14:paraId="024779A1" w14:textId="6729181A" w:rsidR="00FF0E57" w:rsidRDefault="00FF0E57" w:rsidP="00092763">
            <w:pPr>
              <w:pStyle w:val="ListParagraph"/>
              <w:ind w:left="1440" w:firstLine="0"/>
              <w:rPr>
                <w:lang w:eastAsia="en-US"/>
              </w:rPr>
            </w:pPr>
          </w:p>
        </w:tc>
        <w:tc>
          <w:tcPr>
            <w:tcW w:w="2500" w:type="dxa"/>
          </w:tcPr>
          <w:p w14:paraId="0B11C17A" w14:textId="77777777" w:rsidR="00FF0E57" w:rsidRDefault="00FF0E57" w:rsidP="00347407">
            <w:pPr>
              <w:ind w:left="0" w:firstLine="0"/>
              <w:jc w:val="center"/>
            </w:pPr>
          </w:p>
        </w:tc>
      </w:tr>
      <w:tr w:rsidR="00045FD6" w14:paraId="4A59F6E3" w14:textId="77777777" w:rsidTr="00F8204C">
        <w:tc>
          <w:tcPr>
            <w:tcW w:w="6521" w:type="dxa"/>
          </w:tcPr>
          <w:p w14:paraId="4EED1BA8" w14:textId="77777777" w:rsidR="00045FD6" w:rsidRPr="00733278" w:rsidRDefault="00045FD6" w:rsidP="00DA0078">
            <w:pPr>
              <w:pStyle w:val="ListParagraph"/>
              <w:numPr>
                <w:ilvl w:val="0"/>
                <w:numId w:val="11"/>
              </w:numPr>
              <w:ind w:left="321" w:hanging="284"/>
              <w:rPr>
                <w:b/>
                <w:lang w:eastAsia="en-US"/>
              </w:rPr>
            </w:pPr>
            <w:r>
              <w:rPr>
                <w:b/>
                <w:lang w:eastAsia="en-US"/>
              </w:rPr>
              <w:t>Conclusions</w:t>
            </w:r>
          </w:p>
        </w:tc>
        <w:tc>
          <w:tcPr>
            <w:tcW w:w="2500" w:type="dxa"/>
          </w:tcPr>
          <w:p w14:paraId="794AEC58" w14:textId="1A314173" w:rsidR="00045FD6" w:rsidRDefault="006B36DA" w:rsidP="00347407">
            <w:pPr>
              <w:ind w:left="0" w:firstLine="0"/>
              <w:jc w:val="center"/>
            </w:pPr>
            <w:r>
              <w:t>19</w:t>
            </w:r>
          </w:p>
        </w:tc>
      </w:tr>
      <w:tr w:rsidR="00045FD6" w14:paraId="76E2D962" w14:textId="77777777" w:rsidTr="00F8204C">
        <w:tc>
          <w:tcPr>
            <w:tcW w:w="6521" w:type="dxa"/>
          </w:tcPr>
          <w:p w14:paraId="7861334F" w14:textId="77777777" w:rsidR="00045FD6" w:rsidRDefault="00045FD6" w:rsidP="00DA0078">
            <w:pPr>
              <w:pStyle w:val="ListParagraph"/>
              <w:numPr>
                <w:ilvl w:val="0"/>
                <w:numId w:val="3"/>
              </w:numPr>
              <w:rPr>
                <w:lang w:eastAsia="en-US"/>
              </w:rPr>
            </w:pPr>
            <w:r>
              <w:rPr>
                <w:lang w:eastAsia="en-US"/>
              </w:rPr>
              <w:t>Summary</w:t>
            </w:r>
          </w:p>
        </w:tc>
        <w:tc>
          <w:tcPr>
            <w:tcW w:w="2500" w:type="dxa"/>
          </w:tcPr>
          <w:p w14:paraId="43FA5D87" w14:textId="14ADA8A3" w:rsidR="00045FD6" w:rsidRDefault="006B36DA" w:rsidP="00347407">
            <w:pPr>
              <w:ind w:left="0" w:firstLine="0"/>
              <w:jc w:val="center"/>
            </w:pPr>
            <w:r>
              <w:t>19</w:t>
            </w:r>
          </w:p>
        </w:tc>
      </w:tr>
      <w:tr w:rsidR="00045FD6" w14:paraId="195D14AB" w14:textId="77777777" w:rsidTr="00F8204C">
        <w:tc>
          <w:tcPr>
            <w:tcW w:w="6521" w:type="dxa"/>
          </w:tcPr>
          <w:p w14:paraId="77BA8088" w14:textId="30519D34" w:rsidR="00045FD6" w:rsidRPr="00733278" w:rsidRDefault="00045FD6" w:rsidP="00DA0078">
            <w:pPr>
              <w:pStyle w:val="ListParagraph"/>
              <w:numPr>
                <w:ilvl w:val="0"/>
                <w:numId w:val="3"/>
              </w:numPr>
              <w:spacing w:line="256" w:lineRule="auto"/>
              <w:jc w:val="left"/>
              <w:rPr>
                <w:b/>
                <w:lang w:eastAsia="en-US"/>
              </w:rPr>
            </w:pPr>
            <w:r>
              <w:rPr>
                <w:lang w:eastAsia="en-US"/>
              </w:rPr>
              <w:lastRenderedPageBreak/>
              <w:t xml:space="preserve">The Referendum and </w:t>
            </w:r>
            <w:r w:rsidR="00A42C8A">
              <w:rPr>
                <w:lang w:eastAsia="en-US"/>
              </w:rPr>
              <w:t xml:space="preserve">its </w:t>
            </w:r>
            <w:r>
              <w:rPr>
                <w:lang w:eastAsia="en-US"/>
              </w:rPr>
              <w:t>Area</w:t>
            </w:r>
          </w:p>
        </w:tc>
        <w:tc>
          <w:tcPr>
            <w:tcW w:w="2500" w:type="dxa"/>
          </w:tcPr>
          <w:p w14:paraId="48E1CC07" w14:textId="37820A2B" w:rsidR="00045FD6" w:rsidRDefault="006B36DA" w:rsidP="00347407">
            <w:pPr>
              <w:ind w:left="0" w:firstLine="0"/>
              <w:jc w:val="center"/>
            </w:pPr>
            <w:r>
              <w:t>19</w:t>
            </w:r>
          </w:p>
        </w:tc>
      </w:tr>
      <w:tr w:rsidR="00045FD6" w14:paraId="325D48FE" w14:textId="77777777" w:rsidTr="00F8204C">
        <w:tc>
          <w:tcPr>
            <w:tcW w:w="6521" w:type="dxa"/>
          </w:tcPr>
          <w:p w14:paraId="22EE9BB8" w14:textId="77777777" w:rsidR="00045FD6" w:rsidRDefault="00045FD6" w:rsidP="00DA0078">
            <w:pPr>
              <w:pStyle w:val="ListParagraph"/>
              <w:numPr>
                <w:ilvl w:val="0"/>
                <w:numId w:val="3"/>
              </w:numPr>
              <w:rPr>
                <w:lang w:eastAsia="en-US"/>
              </w:rPr>
            </w:pPr>
            <w:r>
              <w:rPr>
                <w:lang w:eastAsia="en-US"/>
              </w:rPr>
              <w:t>Overview</w:t>
            </w:r>
          </w:p>
        </w:tc>
        <w:tc>
          <w:tcPr>
            <w:tcW w:w="2500" w:type="dxa"/>
          </w:tcPr>
          <w:p w14:paraId="36D8B324" w14:textId="031EA14C" w:rsidR="00045FD6" w:rsidRDefault="006B36DA" w:rsidP="00347407">
            <w:pPr>
              <w:ind w:left="0" w:firstLine="0"/>
              <w:jc w:val="center"/>
            </w:pPr>
            <w:r>
              <w:t>19</w:t>
            </w:r>
          </w:p>
        </w:tc>
      </w:tr>
      <w:tr w:rsidR="00092763" w14:paraId="5C890981" w14:textId="77777777" w:rsidTr="00F8204C">
        <w:trPr>
          <w:trHeight w:val="90"/>
        </w:trPr>
        <w:tc>
          <w:tcPr>
            <w:tcW w:w="6521" w:type="dxa"/>
          </w:tcPr>
          <w:p w14:paraId="3FC5F4BE" w14:textId="77777777" w:rsidR="00092763" w:rsidRDefault="00092763" w:rsidP="00347407">
            <w:pPr>
              <w:pStyle w:val="ListParagraph"/>
              <w:ind w:firstLine="0"/>
              <w:rPr>
                <w:lang w:eastAsia="en-US"/>
              </w:rPr>
            </w:pPr>
          </w:p>
        </w:tc>
        <w:tc>
          <w:tcPr>
            <w:tcW w:w="2500" w:type="dxa"/>
          </w:tcPr>
          <w:p w14:paraId="284AE6E8" w14:textId="77777777" w:rsidR="00092763" w:rsidRDefault="00092763" w:rsidP="00347407">
            <w:pPr>
              <w:ind w:left="0" w:firstLine="0"/>
              <w:jc w:val="center"/>
            </w:pPr>
          </w:p>
        </w:tc>
      </w:tr>
      <w:tr w:rsidR="00092763" w14:paraId="59A827C1" w14:textId="77777777" w:rsidTr="00F8204C">
        <w:trPr>
          <w:trHeight w:val="90"/>
        </w:trPr>
        <w:tc>
          <w:tcPr>
            <w:tcW w:w="6521" w:type="dxa"/>
          </w:tcPr>
          <w:p w14:paraId="5AC167CD" w14:textId="716526D3" w:rsidR="00092763" w:rsidRPr="00092763" w:rsidRDefault="00092763" w:rsidP="001A5CE0">
            <w:pPr>
              <w:pStyle w:val="ListParagraph"/>
              <w:ind w:left="37" w:firstLine="0"/>
              <w:rPr>
                <w:b/>
                <w:lang w:eastAsia="en-US"/>
              </w:rPr>
            </w:pPr>
            <w:r w:rsidRPr="00092763">
              <w:rPr>
                <w:b/>
                <w:lang w:eastAsia="en-US"/>
              </w:rPr>
              <w:t>Appendix: Modifications</w:t>
            </w:r>
          </w:p>
        </w:tc>
        <w:tc>
          <w:tcPr>
            <w:tcW w:w="2500" w:type="dxa"/>
          </w:tcPr>
          <w:p w14:paraId="48B8191C" w14:textId="2AEC9CBD" w:rsidR="00092763" w:rsidRDefault="006B36DA" w:rsidP="00347407">
            <w:pPr>
              <w:ind w:left="0" w:firstLine="0"/>
              <w:jc w:val="center"/>
            </w:pPr>
            <w:r>
              <w:t>20</w:t>
            </w:r>
          </w:p>
        </w:tc>
      </w:tr>
    </w:tbl>
    <w:p w14:paraId="2F49ED36" w14:textId="77777777" w:rsidR="00F8204C" w:rsidRDefault="00F8204C">
      <w:r>
        <w:br w:type="page"/>
      </w:r>
    </w:p>
    <w:tbl>
      <w:tblPr>
        <w:tblStyle w:val="TableGrid"/>
        <w:tblW w:w="0" w:type="auto"/>
        <w:tblInd w:w="-5" w:type="dxa"/>
        <w:tblLook w:val="04A0" w:firstRow="1" w:lastRow="0" w:firstColumn="1" w:lastColumn="0" w:noHBand="0" w:noVBand="1"/>
      </w:tblPr>
      <w:tblGrid>
        <w:gridCol w:w="9021"/>
      </w:tblGrid>
      <w:tr w:rsidR="00855C44" w14:paraId="68C4A70F" w14:textId="77777777" w:rsidTr="00045FD6">
        <w:tc>
          <w:tcPr>
            <w:tcW w:w="9021" w:type="dxa"/>
            <w:shd w:val="clear" w:color="auto" w:fill="F2F2F2" w:themeFill="background1" w:themeFillShade="F2"/>
          </w:tcPr>
          <w:p w14:paraId="06CD63AB" w14:textId="34FB7F28" w:rsidR="00855C44" w:rsidRDefault="00971A14" w:rsidP="00F8204C">
            <w:pPr>
              <w:spacing w:before="120"/>
              <w:ind w:left="0" w:firstLine="0"/>
              <w:jc w:val="center"/>
            </w:pPr>
            <w:r w:rsidRPr="002C180A">
              <w:lastRenderedPageBreak/>
              <w:br w:type="page"/>
            </w:r>
            <w:r w:rsidR="00C37BA0" w:rsidRPr="00971A14">
              <w:rPr>
                <w:b/>
              </w:rPr>
              <w:t xml:space="preserve"> </w:t>
            </w:r>
            <w:r w:rsidR="00955554" w:rsidRPr="00971A14">
              <w:rPr>
                <w:b/>
              </w:rPr>
              <w:t>Main Findings</w:t>
            </w:r>
            <w:r w:rsidR="00955554">
              <w:t xml:space="preserve"> - </w:t>
            </w:r>
            <w:r w:rsidR="00855C44">
              <w:t>Executive Summary</w:t>
            </w:r>
          </w:p>
          <w:p w14:paraId="107554F1" w14:textId="77777777" w:rsidR="00855C44" w:rsidRDefault="00855C44" w:rsidP="00855C44">
            <w:pPr>
              <w:ind w:left="0" w:firstLine="0"/>
              <w:jc w:val="center"/>
            </w:pPr>
          </w:p>
          <w:p w14:paraId="00484F69" w14:textId="11680DD6" w:rsidR="00955554" w:rsidRDefault="007C2D78" w:rsidP="00955554">
            <w:pPr>
              <w:ind w:left="0" w:firstLine="0"/>
              <w:jc w:val="left"/>
            </w:pPr>
            <w:r>
              <w:t>F</w:t>
            </w:r>
            <w:r w:rsidR="0056421B">
              <w:t xml:space="preserve">rom my examination of the </w:t>
            </w:r>
            <w:r w:rsidR="00FF0E57">
              <w:t>Dartmouth Park</w:t>
            </w:r>
            <w:r w:rsidR="004E55A6">
              <w:t xml:space="preserve"> Neighbourhood P</w:t>
            </w:r>
            <w:r w:rsidR="0056421B">
              <w:t xml:space="preserve">lan </w:t>
            </w:r>
            <w:r w:rsidR="00A14104">
              <w:t>(the Plan/</w:t>
            </w:r>
            <w:r w:rsidR="00B643E7">
              <w:t xml:space="preserve"> </w:t>
            </w:r>
            <w:r w:rsidR="00A14104" w:rsidRPr="00A14104">
              <w:t>DPNP</w:t>
            </w:r>
            <w:r w:rsidR="00A14104">
              <w:t xml:space="preserve">) </w:t>
            </w:r>
            <w:r w:rsidR="0056421B">
              <w:t>a</w:t>
            </w:r>
            <w:r w:rsidR="00A003A7">
              <w:t>nd its supporting documentation</w:t>
            </w:r>
            <w:r w:rsidR="0056421B">
              <w:t xml:space="preserve"> including the </w:t>
            </w:r>
            <w:r>
              <w:t>representations</w:t>
            </w:r>
            <w:r w:rsidR="0056421B">
              <w:t xml:space="preserve"> made, I have concluded that sub</w:t>
            </w:r>
            <w:r w:rsidR="006B570E">
              <w:t>j</w:t>
            </w:r>
            <w:r>
              <w:t>ect</w:t>
            </w:r>
            <w:r w:rsidR="0056421B">
              <w:t xml:space="preserve"> to the </w:t>
            </w:r>
            <w:r>
              <w:t xml:space="preserve">policy </w:t>
            </w:r>
            <w:r w:rsidR="0056421B">
              <w:t>mo</w:t>
            </w:r>
            <w:r>
              <w:t xml:space="preserve">difications </w:t>
            </w:r>
            <w:r w:rsidR="0056421B">
              <w:t xml:space="preserve">set out </w:t>
            </w:r>
            <w:r>
              <w:t xml:space="preserve">in this report, the </w:t>
            </w:r>
            <w:r w:rsidR="00E718D8">
              <w:t>P</w:t>
            </w:r>
            <w:r>
              <w:t>lan meets the Basic Conditions.</w:t>
            </w:r>
          </w:p>
          <w:p w14:paraId="711B28E9" w14:textId="77777777" w:rsidR="007C2D78" w:rsidRDefault="007C2D78" w:rsidP="00955554">
            <w:pPr>
              <w:ind w:left="0" w:firstLine="0"/>
              <w:jc w:val="left"/>
            </w:pPr>
          </w:p>
          <w:p w14:paraId="39FD7493" w14:textId="77777777" w:rsidR="007C2D78" w:rsidRDefault="007C2D78" w:rsidP="00955554">
            <w:pPr>
              <w:ind w:left="0" w:firstLine="0"/>
              <w:jc w:val="left"/>
            </w:pPr>
            <w:r>
              <w:t>I have also concluded that:</w:t>
            </w:r>
          </w:p>
          <w:p w14:paraId="4B6DEBEA" w14:textId="77777777" w:rsidR="007C2D78" w:rsidRDefault="007C2D78" w:rsidP="00955554">
            <w:pPr>
              <w:ind w:left="0" w:firstLine="0"/>
              <w:jc w:val="left"/>
            </w:pPr>
          </w:p>
          <w:p w14:paraId="530058E8" w14:textId="52F9274B" w:rsidR="007C2D78" w:rsidRDefault="00E718D8" w:rsidP="00DA0078">
            <w:pPr>
              <w:pStyle w:val="ListParagraph"/>
              <w:numPr>
                <w:ilvl w:val="3"/>
                <w:numId w:val="1"/>
              </w:numPr>
              <w:ind w:left="927"/>
              <w:jc w:val="left"/>
            </w:pPr>
            <w:r>
              <w:t>The P</w:t>
            </w:r>
            <w:r w:rsidR="007C2D78">
              <w:t>lan has been prepared and submitted for examinatio</w:t>
            </w:r>
            <w:r w:rsidR="004E55A6">
              <w:t xml:space="preserve">n by a qualifying body – </w:t>
            </w:r>
            <w:r w:rsidR="006E4121">
              <w:t>the Dartmouth Park Neighbourhood Forum</w:t>
            </w:r>
            <w:r w:rsidR="007C2D78">
              <w:t>;</w:t>
            </w:r>
          </w:p>
          <w:p w14:paraId="4F5FA182" w14:textId="6830D8D6" w:rsidR="007C2D78" w:rsidRDefault="007C2D78" w:rsidP="00DA0078">
            <w:pPr>
              <w:pStyle w:val="ListParagraph"/>
              <w:numPr>
                <w:ilvl w:val="3"/>
                <w:numId w:val="1"/>
              </w:numPr>
              <w:ind w:left="927"/>
              <w:jc w:val="left"/>
            </w:pPr>
            <w:r>
              <w:t xml:space="preserve">The </w:t>
            </w:r>
            <w:r w:rsidR="00E718D8">
              <w:t>P</w:t>
            </w:r>
            <w:r>
              <w:t xml:space="preserve">lan has been prepared for an area properly designated – </w:t>
            </w:r>
            <w:r w:rsidR="006E4121">
              <w:t>the Neigh</w:t>
            </w:r>
            <w:r w:rsidR="00A53EA7">
              <w:t xml:space="preserve">bourhood </w:t>
            </w:r>
            <w:r w:rsidR="00F8204C">
              <w:t xml:space="preserve">Plan </w:t>
            </w:r>
            <w:r w:rsidR="00A53EA7">
              <w:t>Area as shown in Fig</w:t>
            </w:r>
            <w:r w:rsidR="006E4121">
              <w:t xml:space="preserve"> 1A of the Plan</w:t>
            </w:r>
            <w:r w:rsidR="00363D31">
              <w:t>;</w:t>
            </w:r>
          </w:p>
          <w:p w14:paraId="22C3E147" w14:textId="38C4AF9F" w:rsidR="007C2D78" w:rsidRDefault="00E718D8" w:rsidP="00DA0078">
            <w:pPr>
              <w:pStyle w:val="ListParagraph"/>
              <w:numPr>
                <w:ilvl w:val="3"/>
                <w:numId w:val="1"/>
              </w:numPr>
              <w:ind w:left="927"/>
              <w:jc w:val="left"/>
            </w:pPr>
            <w:r>
              <w:t>The P</w:t>
            </w:r>
            <w:r w:rsidR="007C2D78">
              <w:t xml:space="preserve">lan specifies the period to which it is to take effect – </w:t>
            </w:r>
            <w:r w:rsidR="006E4121">
              <w:t>2019 - 2034</w:t>
            </w:r>
            <w:r w:rsidR="007C2D78">
              <w:t xml:space="preserve">; and </w:t>
            </w:r>
          </w:p>
          <w:p w14:paraId="4FA62D98" w14:textId="77777777" w:rsidR="007C2D78" w:rsidRDefault="007C2D78" w:rsidP="00DA0078">
            <w:pPr>
              <w:pStyle w:val="ListParagraph"/>
              <w:numPr>
                <w:ilvl w:val="3"/>
                <w:numId w:val="1"/>
              </w:numPr>
              <w:ind w:left="927"/>
              <w:jc w:val="left"/>
            </w:pPr>
            <w:r>
              <w:t>The polic</w:t>
            </w:r>
            <w:r w:rsidR="00F5450A">
              <w:t>i</w:t>
            </w:r>
            <w:r>
              <w:t>es relate to the development and use of land for a designated neighbourhood area.</w:t>
            </w:r>
          </w:p>
          <w:p w14:paraId="35300107" w14:textId="77777777" w:rsidR="007C2D78" w:rsidRDefault="007C2D78" w:rsidP="007C2D78">
            <w:pPr>
              <w:ind w:left="0" w:firstLine="0"/>
              <w:jc w:val="left"/>
            </w:pPr>
          </w:p>
          <w:p w14:paraId="0DA43719" w14:textId="7007163D" w:rsidR="007C2D78" w:rsidRDefault="007C2D78" w:rsidP="007C2D78">
            <w:pPr>
              <w:ind w:left="0" w:firstLine="0"/>
              <w:jc w:val="left"/>
            </w:pPr>
            <w:r>
              <w:t>I</w:t>
            </w:r>
            <w:r w:rsidR="006B570E">
              <w:t xml:space="preserve"> </w:t>
            </w:r>
            <w:r>
              <w:t>recom</w:t>
            </w:r>
            <w:r w:rsidR="006B570E">
              <w:t xml:space="preserve">mend that the </w:t>
            </w:r>
            <w:r w:rsidR="00E718D8">
              <w:t>P</w:t>
            </w:r>
            <w:r>
              <w:t>lan, once modified</w:t>
            </w:r>
            <w:r w:rsidR="006B570E">
              <w:t xml:space="preserve">, </w:t>
            </w:r>
            <w:r>
              <w:t>proceeds to Referendum on the ba</w:t>
            </w:r>
            <w:r w:rsidR="006B570E">
              <w:t>s</w:t>
            </w:r>
            <w:r>
              <w:t xml:space="preserve">is </w:t>
            </w:r>
            <w:r w:rsidR="006B570E">
              <w:t xml:space="preserve">that it has </w:t>
            </w:r>
            <w:r>
              <w:t>met all the rel</w:t>
            </w:r>
            <w:r w:rsidR="006B570E">
              <w:t>e</w:t>
            </w:r>
            <w:r>
              <w:t>v</w:t>
            </w:r>
            <w:r w:rsidR="006B570E">
              <w:t>a</w:t>
            </w:r>
            <w:r>
              <w:t>nt legal requi</w:t>
            </w:r>
            <w:r w:rsidR="006B570E">
              <w:t>rements</w:t>
            </w:r>
            <w:r>
              <w:t xml:space="preserve">. </w:t>
            </w:r>
          </w:p>
          <w:p w14:paraId="6FE26D7B" w14:textId="77777777" w:rsidR="007C2D78" w:rsidRDefault="007C2D78" w:rsidP="007C2D78">
            <w:pPr>
              <w:ind w:left="0" w:firstLine="0"/>
              <w:jc w:val="left"/>
            </w:pPr>
          </w:p>
          <w:p w14:paraId="73E9BB55" w14:textId="0B8172BC" w:rsidR="00855C44" w:rsidRDefault="006B570E" w:rsidP="00F8204C">
            <w:pPr>
              <w:spacing w:after="120"/>
              <w:ind w:left="0" w:firstLine="0"/>
              <w:jc w:val="left"/>
            </w:pPr>
            <w:r>
              <w:t xml:space="preserve">I have considered whether the </w:t>
            </w:r>
            <w:r w:rsidR="007C2D78">
              <w:t>refer</w:t>
            </w:r>
            <w:r>
              <w:t>e</w:t>
            </w:r>
            <w:r w:rsidR="007C2D78">
              <w:t>ndu</w:t>
            </w:r>
            <w:r>
              <w:t>m</w:t>
            </w:r>
            <w:r w:rsidR="007C2D78">
              <w:t xml:space="preserve"> area </w:t>
            </w:r>
            <w:r>
              <w:t>should extend beyond the designated are</w:t>
            </w:r>
            <w:r w:rsidR="00F5450A">
              <w:t>a</w:t>
            </w:r>
            <w:r w:rsidR="00E718D8">
              <w:t xml:space="preserve"> to which the P</w:t>
            </w:r>
            <w:r>
              <w:t xml:space="preserve">lan relates and have concluded </w:t>
            </w:r>
            <w:r w:rsidR="004E55A6">
              <w:t xml:space="preserve">that </w:t>
            </w:r>
            <w:r>
              <w:t>it</w:t>
            </w:r>
            <w:r w:rsidR="006E4121">
              <w:t xml:space="preserve"> should not.</w:t>
            </w:r>
            <w:r w:rsidR="007C2D78">
              <w:t xml:space="preserve">  </w:t>
            </w:r>
          </w:p>
        </w:tc>
      </w:tr>
    </w:tbl>
    <w:p w14:paraId="5B49DBF7" w14:textId="77777777" w:rsidR="00855C44" w:rsidRDefault="00855C44"/>
    <w:p w14:paraId="3B8873B0" w14:textId="77777777" w:rsidR="00955554" w:rsidRDefault="00955554">
      <w:pPr>
        <w:spacing w:after="160" w:line="259" w:lineRule="auto"/>
        <w:ind w:left="0" w:firstLine="0"/>
        <w:jc w:val="left"/>
      </w:pPr>
    </w:p>
    <w:p w14:paraId="4249BB67" w14:textId="77777777" w:rsidR="0083641B" w:rsidRDefault="00955554" w:rsidP="0083641B">
      <w:pPr>
        <w:spacing w:line="259" w:lineRule="auto"/>
        <w:jc w:val="left"/>
        <w:rPr>
          <w:b/>
        </w:rPr>
      </w:pPr>
      <w:r w:rsidRPr="002B0246">
        <w:rPr>
          <w:b/>
        </w:rPr>
        <w:t>1. Introduction and Background</w:t>
      </w:r>
      <w:r w:rsidR="002B0246" w:rsidRPr="002B0246">
        <w:rPr>
          <w:b/>
        </w:rPr>
        <w:t xml:space="preserve"> </w:t>
      </w:r>
    </w:p>
    <w:p w14:paraId="7CCB026C" w14:textId="40E23CF8" w:rsidR="00955554" w:rsidRPr="002B0246" w:rsidRDefault="002B0246" w:rsidP="0083641B">
      <w:pPr>
        <w:spacing w:line="259" w:lineRule="auto"/>
        <w:jc w:val="left"/>
        <w:rPr>
          <w:b/>
          <w:color w:val="FF0000"/>
        </w:rPr>
      </w:pPr>
      <w:r w:rsidRPr="002B0246">
        <w:rPr>
          <w:b/>
        </w:rPr>
        <w:t xml:space="preserve"> </w:t>
      </w:r>
    </w:p>
    <w:p w14:paraId="1328E11F" w14:textId="3D01CF5B" w:rsidR="00955554" w:rsidRDefault="006E4121" w:rsidP="0083641B">
      <w:pPr>
        <w:spacing w:line="259" w:lineRule="auto"/>
        <w:jc w:val="left"/>
        <w:rPr>
          <w:i/>
        </w:rPr>
      </w:pPr>
      <w:r>
        <w:rPr>
          <w:i/>
        </w:rPr>
        <w:t>Dartmouth Park</w:t>
      </w:r>
      <w:r w:rsidR="004E55A6">
        <w:rPr>
          <w:i/>
        </w:rPr>
        <w:t xml:space="preserve"> Neighbourhood </w:t>
      </w:r>
      <w:r w:rsidR="00955554" w:rsidRPr="002B0246">
        <w:rPr>
          <w:i/>
        </w:rPr>
        <w:t>Plan</w:t>
      </w:r>
      <w:r w:rsidR="004E55A6">
        <w:rPr>
          <w:i/>
        </w:rPr>
        <w:t xml:space="preserve"> 20</w:t>
      </w:r>
      <w:r>
        <w:rPr>
          <w:i/>
        </w:rPr>
        <w:t>19</w:t>
      </w:r>
      <w:r w:rsidR="009937FF">
        <w:rPr>
          <w:i/>
        </w:rPr>
        <w:t xml:space="preserve"> </w:t>
      </w:r>
      <w:r w:rsidR="00B2297D">
        <w:rPr>
          <w:i/>
        </w:rPr>
        <w:t xml:space="preserve">- </w:t>
      </w:r>
      <w:r w:rsidR="004E55A6">
        <w:rPr>
          <w:i/>
        </w:rPr>
        <w:t>20</w:t>
      </w:r>
      <w:r>
        <w:rPr>
          <w:i/>
        </w:rPr>
        <w:t>34</w:t>
      </w:r>
    </w:p>
    <w:p w14:paraId="12CB1CA0" w14:textId="77777777" w:rsidR="0083641B" w:rsidRPr="002B0246" w:rsidRDefault="0083641B" w:rsidP="0083641B">
      <w:pPr>
        <w:spacing w:line="259" w:lineRule="auto"/>
        <w:jc w:val="left"/>
        <w:rPr>
          <w:i/>
        </w:rPr>
      </w:pPr>
    </w:p>
    <w:p w14:paraId="22512DB7" w14:textId="6DACC7E9" w:rsidR="00955554" w:rsidRDefault="002F1C07" w:rsidP="00A14104">
      <w:pPr>
        <w:pStyle w:val="Default"/>
        <w:ind w:left="720" w:hanging="720"/>
        <w:rPr>
          <w:rFonts w:ascii="Verdana" w:hAnsi="Verdana"/>
          <w:color w:val="auto"/>
          <w:sz w:val="22"/>
          <w:szCs w:val="22"/>
        </w:rPr>
      </w:pPr>
      <w:r w:rsidRPr="00541343">
        <w:rPr>
          <w:rFonts w:ascii="Verdana" w:hAnsi="Verdana"/>
          <w:color w:val="auto"/>
          <w:sz w:val="22"/>
          <w:szCs w:val="22"/>
        </w:rPr>
        <w:t xml:space="preserve">1.1 </w:t>
      </w:r>
      <w:r w:rsidR="00A14104">
        <w:rPr>
          <w:rFonts w:ascii="Verdana" w:hAnsi="Verdana"/>
          <w:color w:val="auto"/>
          <w:sz w:val="22"/>
          <w:szCs w:val="22"/>
        </w:rPr>
        <w:tab/>
      </w:r>
      <w:r w:rsidR="006E4121">
        <w:rPr>
          <w:rFonts w:ascii="Verdana" w:hAnsi="Verdana"/>
          <w:color w:val="auto"/>
          <w:sz w:val="22"/>
          <w:szCs w:val="22"/>
        </w:rPr>
        <w:t>Dartmouth Park lies in the High</w:t>
      </w:r>
      <w:r w:rsidR="00AA6659">
        <w:rPr>
          <w:rFonts w:ascii="Verdana" w:hAnsi="Verdana"/>
          <w:color w:val="auto"/>
          <w:sz w:val="22"/>
          <w:szCs w:val="22"/>
        </w:rPr>
        <w:t>gate</w:t>
      </w:r>
      <w:r w:rsidR="006E4121">
        <w:rPr>
          <w:rFonts w:ascii="Verdana" w:hAnsi="Verdana"/>
          <w:color w:val="auto"/>
          <w:sz w:val="22"/>
          <w:szCs w:val="22"/>
        </w:rPr>
        <w:t xml:space="preserve"> ward of Camden Council and I saw on my visit that it is primarily an attractive residential area which benefits significantly from the setting provided </w:t>
      </w:r>
      <w:r w:rsidR="009E1F03">
        <w:rPr>
          <w:rFonts w:ascii="Verdana" w:hAnsi="Verdana"/>
          <w:color w:val="auto"/>
          <w:sz w:val="22"/>
          <w:szCs w:val="22"/>
        </w:rPr>
        <w:t xml:space="preserve">in particular </w:t>
      </w:r>
      <w:r w:rsidR="006E4121">
        <w:rPr>
          <w:rFonts w:ascii="Verdana" w:hAnsi="Verdana"/>
          <w:color w:val="auto"/>
          <w:sz w:val="22"/>
          <w:szCs w:val="22"/>
        </w:rPr>
        <w:t xml:space="preserve">by </w:t>
      </w:r>
      <w:r w:rsidR="00E30B35">
        <w:rPr>
          <w:rFonts w:ascii="Verdana" w:hAnsi="Verdana"/>
          <w:color w:val="auto"/>
          <w:sz w:val="22"/>
          <w:szCs w:val="22"/>
        </w:rPr>
        <w:t xml:space="preserve">Parliament Hill and </w:t>
      </w:r>
      <w:r w:rsidR="009E1F03">
        <w:rPr>
          <w:rFonts w:ascii="Verdana" w:hAnsi="Verdana"/>
          <w:color w:val="auto"/>
          <w:sz w:val="22"/>
          <w:szCs w:val="22"/>
        </w:rPr>
        <w:t>Highgate Cemetery</w:t>
      </w:r>
      <w:r w:rsidR="00E30B35">
        <w:rPr>
          <w:rFonts w:ascii="Verdana" w:hAnsi="Verdana"/>
          <w:color w:val="auto"/>
          <w:sz w:val="22"/>
          <w:szCs w:val="22"/>
        </w:rPr>
        <w:t xml:space="preserve">. Much of the built-up area falls within the Dartmouth Park Conservation Area and although there is a range of building styles and ages, the area nevertheless displays a </w:t>
      </w:r>
      <w:r w:rsidR="00092763">
        <w:rPr>
          <w:rFonts w:ascii="Verdana" w:hAnsi="Verdana"/>
          <w:color w:val="auto"/>
          <w:sz w:val="22"/>
          <w:szCs w:val="22"/>
        </w:rPr>
        <w:t xml:space="preserve">distinctive </w:t>
      </w:r>
      <w:r w:rsidR="00E30B35">
        <w:rPr>
          <w:rFonts w:ascii="Verdana" w:hAnsi="Verdana"/>
          <w:color w:val="auto"/>
          <w:sz w:val="22"/>
          <w:szCs w:val="22"/>
        </w:rPr>
        <w:t xml:space="preserve">sense of place. </w:t>
      </w:r>
    </w:p>
    <w:p w14:paraId="442F1649" w14:textId="5D76D47F" w:rsidR="00E30B35" w:rsidRDefault="00E30B35" w:rsidP="0083641B">
      <w:pPr>
        <w:pStyle w:val="Default"/>
        <w:ind w:left="426" w:hanging="426"/>
        <w:rPr>
          <w:rFonts w:ascii="Verdana" w:hAnsi="Verdana"/>
          <w:color w:val="auto"/>
          <w:sz w:val="22"/>
          <w:szCs w:val="22"/>
        </w:rPr>
      </w:pPr>
    </w:p>
    <w:p w14:paraId="6499CDDB" w14:textId="11ABAE69" w:rsidR="00E55307" w:rsidRDefault="00E30B35" w:rsidP="00A14104">
      <w:pPr>
        <w:pStyle w:val="Default"/>
        <w:ind w:left="720" w:hanging="720"/>
        <w:rPr>
          <w:rFonts w:ascii="Verdana" w:hAnsi="Verdana"/>
          <w:color w:val="auto"/>
          <w:sz w:val="22"/>
          <w:szCs w:val="22"/>
        </w:rPr>
      </w:pPr>
      <w:r>
        <w:rPr>
          <w:rFonts w:ascii="Verdana" w:hAnsi="Verdana"/>
          <w:color w:val="auto"/>
          <w:sz w:val="22"/>
          <w:szCs w:val="22"/>
        </w:rPr>
        <w:t xml:space="preserve">1.2 </w:t>
      </w:r>
      <w:r w:rsidR="00A14104">
        <w:rPr>
          <w:rFonts w:ascii="Verdana" w:hAnsi="Verdana"/>
          <w:color w:val="auto"/>
          <w:sz w:val="22"/>
          <w:szCs w:val="22"/>
        </w:rPr>
        <w:tab/>
      </w:r>
      <w:r w:rsidR="00092763">
        <w:rPr>
          <w:rFonts w:ascii="Verdana" w:hAnsi="Verdana"/>
          <w:color w:val="auto"/>
          <w:sz w:val="22"/>
          <w:szCs w:val="22"/>
        </w:rPr>
        <w:t>On my visit I saw a number of Neighbourhood Centres which appear to be relatively thriving with a reasonable range of services available</w:t>
      </w:r>
      <w:r w:rsidR="009E1F03">
        <w:rPr>
          <w:rFonts w:ascii="Verdana" w:hAnsi="Verdana"/>
          <w:color w:val="auto"/>
          <w:sz w:val="22"/>
          <w:szCs w:val="22"/>
        </w:rPr>
        <w:t xml:space="preserve"> and I noted that new retail floorspace is being provided at the Swains Lane Neighbourhood Centre</w:t>
      </w:r>
      <w:r w:rsidR="00092763">
        <w:rPr>
          <w:rFonts w:ascii="Verdana" w:hAnsi="Verdana"/>
          <w:color w:val="auto"/>
          <w:sz w:val="22"/>
          <w:szCs w:val="22"/>
        </w:rPr>
        <w:t>. To the south of the N</w:t>
      </w:r>
      <w:r w:rsidR="004915A9">
        <w:rPr>
          <w:rFonts w:ascii="Verdana" w:hAnsi="Verdana"/>
          <w:color w:val="auto"/>
          <w:sz w:val="22"/>
          <w:szCs w:val="22"/>
        </w:rPr>
        <w:t>eighbourhood Plan</w:t>
      </w:r>
      <w:r w:rsidR="001F3543">
        <w:rPr>
          <w:rFonts w:ascii="Verdana" w:hAnsi="Verdana"/>
          <w:color w:val="auto"/>
          <w:sz w:val="22"/>
          <w:szCs w:val="22"/>
        </w:rPr>
        <w:t xml:space="preserve"> A</w:t>
      </w:r>
      <w:r w:rsidR="00092763">
        <w:rPr>
          <w:rFonts w:ascii="Verdana" w:hAnsi="Verdana"/>
          <w:color w:val="auto"/>
          <w:sz w:val="22"/>
          <w:szCs w:val="22"/>
        </w:rPr>
        <w:t>rea is</w:t>
      </w:r>
      <w:r w:rsidR="00E55307">
        <w:rPr>
          <w:rFonts w:ascii="Verdana" w:hAnsi="Verdana"/>
          <w:color w:val="auto"/>
          <w:sz w:val="22"/>
          <w:szCs w:val="22"/>
        </w:rPr>
        <w:t xml:space="preserve"> the relatively large site (6.8 ha) known as Murphy’s Yard which is occupied by a civil engineering and utilities company. The Murphy Group, in its consultation response, state that ‘the site represents a key regeneration opportunity’ and, having seen the site, I agree</w:t>
      </w:r>
      <w:r w:rsidR="009E1F03">
        <w:rPr>
          <w:rFonts w:ascii="Verdana" w:hAnsi="Verdana"/>
          <w:color w:val="auto"/>
          <w:sz w:val="22"/>
          <w:szCs w:val="22"/>
        </w:rPr>
        <w:t xml:space="preserve"> that</w:t>
      </w:r>
      <w:r w:rsidR="00645019">
        <w:rPr>
          <w:rFonts w:ascii="Verdana" w:hAnsi="Verdana"/>
          <w:color w:val="auto"/>
          <w:sz w:val="22"/>
          <w:szCs w:val="22"/>
        </w:rPr>
        <w:t xml:space="preserve"> should the opportunity arise,</w:t>
      </w:r>
      <w:r w:rsidR="009E1F03">
        <w:rPr>
          <w:rFonts w:ascii="Verdana" w:hAnsi="Verdana"/>
          <w:color w:val="auto"/>
          <w:sz w:val="22"/>
          <w:szCs w:val="22"/>
        </w:rPr>
        <w:t xml:space="preserve"> there may be potential for sensitive regeneration</w:t>
      </w:r>
      <w:r w:rsidR="00E55307">
        <w:rPr>
          <w:rFonts w:ascii="Verdana" w:hAnsi="Verdana"/>
          <w:color w:val="auto"/>
          <w:sz w:val="22"/>
          <w:szCs w:val="22"/>
        </w:rPr>
        <w:t>.</w:t>
      </w:r>
    </w:p>
    <w:p w14:paraId="40131900" w14:textId="77777777" w:rsidR="00E55307" w:rsidRDefault="00E55307" w:rsidP="0083641B">
      <w:pPr>
        <w:pStyle w:val="Default"/>
        <w:ind w:left="426" w:hanging="426"/>
        <w:rPr>
          <w:rFonts w:ascii="Verdana" w:hAnsi="Verdana"/>
          <w:color w:val="auto"/>
          <w:sz w:val="22"/>
          <w:szCs w:val="22"/>
        </w:rPr>
      </w:pPr>
    </w:p>
    <w:p w14:paraId="32C2EE25" w14:textId="43F36573" w:rsidR="00E30B35" w:rsidRPr="000B3144" w:rsidRDefault="00E55307" w:rsidP="00A14104">
      <w:pPr>
        <w:pStyle w:val="Default"/>
        <w:ind w:left="720" w:hanging="720"/>
        <w:rPr>
          <w:rFonts w:ascii="Verdana" w:hAnsi="Verdana"/>
          <w:color w:val="1F4E79" w:themeColor="accent1" w:themeShade="80"/>
          <w:sz w:val="22"/>
          <w:szCs w:val="22"/>
        </w:rPr>
      </w:pPr>
      <w:r>
        <w:rPr>
          <w:rFonts w:ascii="Verdana" w:hAnsi="Verdana"/>
          <w:color w:val="auto"/>
          <w:sz w:val="22"/>
          <w:szCs w:val="22"/>
        </w:rPr>
        <w:lastRenderedPageBreak/>
        <w:t xml:space="preserve">1.3 </w:t>
      </w:r>
      <w:r w:rsidR="00A14104">
        <w:rPr>
          <w:rFonts w:ascii="Verdana" w:hAnsi="Verdana"/>
          <w:color w:val="auto"/>
          <w:sz w:val="22"/>
          <w:szCs w:val="22"/>
        </w:rPr>
        <w:tab/>
      </w:r>
      <w:r>
        <w:rPr>
          <w:rFonts w:ascii="Verdana" w:hAnsi="Verdana"/>
          <w:color w:val="auto"/>
          <w:sz w:val="22"/>
          <w:szCs w:val="22"/>
        </w:rPr>
        <w:t>In terms of accessibility there are a number of bus routes through the area and the proxim</w:t>
      </w:r>
      <w:r w:rsidR="006D22A6">
        <w:rPr>
          <w:rFonts w:ascii="Verdana" w:hAnsi="Verdana"/>
          <w:color w:val="auto"/>
          <w:sz w:val="22"/>
          <w:szCs w:val="22"/>
        </w:rPr>
        <w:t>i</w:t>
      </w:r>
      <w:r>
        <w:rPr>
          <w:rFonts w:ascii="Verdana" w:hAnsi="Verdana"/>
          <w:color w:val="auto"/>
          <w:sz w:val="22"/>
          <w:szCs w:val="22"/>
        </w:rPr>
        <w:t xml:space="preserve">ty </w:t>
      </w:r>
      <w:r w:rsidR="006D22A6">
        <w:rPr>
          <w:rFonts w:ascii="Verdana" w:hAnsi="Verdana"/>
          <w:color w:val="auto"/>
          <w:sz w:val="22"/>
          <w:szCs w:val="22"/>
        </w:rPr>
        <w:t xml:space="preserve">of </w:t>
      </w:r>
      <w:r>
        <w:rPr>
          <w:rFonts w:ascii="Verdana" w:hAnsi="Verdana"/>
          <w:color w:val="auto"/>
          <w:sz w:val="22"/>
          <w:szCs w:val="22"/>
        </w:rPr>
        <w:t xml:space="preserve">stations </w:t>
      </w:r>
      <w:r w:rsidR="006D22A6">
        <w:rPr>
          <w:rFonts w:ascii="Verdana" w:hAnsi="Verdana"/>
          <w:color w:val="auto"/>
          <w:sz w:val="22"/>
          <w:szCs w:val="22"/>
        </w:rPr>
        <w:t>at Gospel Oak, Tufnell Park and Archway contribute significantly towards sustainable travel.</w:t>
      </w:r>
      <w:r>
        <w:rPr>
          <w:rFonts w:ascii="Verdana" w:hAnsi="Verdana"/>
          <w:color w:val="auto"/>
          <w:sz w:val="22"/>
          <w:szCs w:val="22"/>
        </w:rPr>
        <w:t xml:space="preserve"> </w:t>
      </w:r>
      <w:r w:rsidR="00092763">
        <w:rPr>
          <w:rFonts w:ascii="Verdana" w:hAnsi="Verdana"/>
          <w:color w:val="auto"/>
          <w:sz w:val="22"/>
          <w:szCs w:val="22"/>
        </w:rPr>
        <w:t xml:space="preserve"> </w:t>
      </w:r>
    </w:p>
    <w:p w14:paraId="1F539BF3" w14:textId="77777777" w:rsidR="00955554" w:rsidRDefault="00955554" w:rsidP="00917828">
      <w:pPr>
        <w:pStyle w:val="ListParagraph"/>
      </w:pPr>
    </w:p>
    <w:p w14:paraId="2223900B" w14:textId="77777777" w:rsidR="0083641B" w:rsidRDefault="003E0584" w:rsidP="00917828">
      <w:pPr>
        <w:spacing w:line="259" w:lineRule="auto"/>
        <w:jc w:val="left"/>
        <w:rPr>
          <w:i/>
        </w:rPr>
      </w:pPr>
      <w:r>
        <w:rPr>
          <w:i/>
        </w:rPr>
        <w:t>T</w:t>
      </w:r>
      <w:r w:rsidR="00955554" w:rsidRPr="00955554">
        <w:rPr>
          <w:i/>
        </w:rPr>
        <w:t>he Independent Examiner</w:t>
      </w:r>
    </w:p>
    <w:p w14:paraId="65928447" w14:textId="1ED9BC90" w:rsidR="00955554" w:rsidRPr="00955554" w:rsidRDefault="00955554" w:rsidP="00917828">
      <w:pPr>
        <w:spacing w:line="259" w:lineRule="auto"/>
        <w:jc w:val="left"/>
        <w:rPr>
          <w:i/>
        </w:rPr>
      </w:pPr>
      <w:r w:rsidRPr="00955554">
        <w:rPr>
          <w:i/>
        </w:rPr>
        <w:t xml:space="preserve"> </w:t>
      </w:r>
    </w:p>
    <w:p w14:paraId="40E9912D" w14:textId="001B5B63" w:rsidR="00333B68" w:rsidRDefault="00955554" w:rsidP="00A14104">
      <w:pPr>
        <w:spacing w:line="259" w:lineRule="auto"/>
        <w:ind w:left="720" w:hanging="720"/>
        <w:jc w:val="left"/>
      </w:pPr>
      <w:r w:rsidRPr="00333B68">
        <w:t>1.</w:t>
      </w:r>
      <w:r w:rsidR="006D22A6">
        <w:t>4</w:t>
      </w:r>
      <w:r w:rsidR="00A14104">
        <w:tab/>
      </w:r>
      <w:r w:rsidR="00A73AD5">
        <w:t>As th</w:t>
      </w:r>
      <w:r w:rsidR="001365AC">
        <w:t xml:space="preserve">e </w:t>
      </w:r>
      <w:r w:rsidR="00E718D8">
        <w:t>P</w:t>
      </w:r>
      <w:r w:rsidR="00A73AD5">
        <w:t xml:space="preserve">lan has </w:t>
      </w:r>
      <w:r w:rsidR="00735E60">
        <w:t xml:space="preserve">now </w:t>
      </w:r>
      <w:r w:rsidR="00A73AD5">
        <w:t xml:space="preserve">reached the examination stage, </w:t>
      </w:r>
      <w:r w:rsidR="00B87641" w:rsidRPr="00333B68">
        <w:t xml:space="preserve">I have been appointed as </w:t>
      </w:r>
      <w:r w:rsidR="00333B68" w:rsidRPr="00333B68">
        <w:t>the</w:t>
      </w:r>
      <w:r w:rsidR="00B87641" w:rsidRPr="00333B68">
        <w:t xml:space="preserve"> examiner </w:t>
      </w:r>
      <w:r w:rsidR="00333B68" w:rsidRPr="00333B68">
        <w:t xml:space="preserve">of the </w:t>
      </w:r>
      <w:r w:rsidR="00A24014">
        <w:t>DPNP</w:t>
      </w:r>
      <w:r w:rsidR="009A6996">
        <w:t xml:space="preserve"> </w:t>
      </w:r>
      <w:r w:rsidR="00B87641" w:rsidRPr="00333B68">
        <w:t xml:space="preserve">by </w:t>
      </w:r>
      <w:r w:rsidR="006E4121">
        <w:t>Camden</w:t>
      </w:r>
      <w:r w:rsidR="00B2297D">
        <w:t xml:space="preserve"> </w:t>
      </w:r>
      <w:r w:rsidR="00B87641" w:rsidRPr="00333B68">
        <w:t>Council</w:t>
      </w:r>
      <w:r w:rsidR="00333B68" w:rsidRPr="00333B68">
        <w:t>,</w:t>
      </w:r>
      <w:r w:rsidR="00B87641" w:rsidRPr="00333B68">
        <w:t xml:space="preserve"> with the agreement of the </w:t>
      </w:r>
      <w:r w:rsidR="006E4121">
        <w:t>Dartmouth Park Neighbourhood Forum</w:t>
      </w:r>
      <w:r w:rsidR="009A6996">
        <w:t xml:space="preserve"> (DPNF)</w:t>
      </w:r>
      <w:r w:rsidR="00B87641" w:rsidRPr="00333B68">
        <w:t xml:space="preserve">.  </w:t>
      </w:r>
    </w:p>
    <w:p w14:paraId="15CB714B" w14:textId="77777777" w:rsidR="0083641B" w:rsidRPr="00333B68" w:rsidRDefault="0083641B" w:rsidP="0083641B">
      <w:pPr>
        <w:spacing w:line="259" w:lineRule="auto"/>
        <w:jc w:val="left"/>
      </w:pPr>
    </w:p>
    <w:p w14:paraId="5B734F13" w14:textId="340FE8C9" w:rsidR="00955554" w:rsidRPr="00333B68" w:rsidRDefault="00333B68" w:rsidP="00A14104">
      <w:pPr>
        <w:spacing w:line="259" w:lineRule="auto"/>
        <w:ind w:left="720" w:hanging="720"/>
        <w:jc w:val="left"/>
      </w:pPr>
      <w:r w:rsidRPr="00333B68">
        <w:t>1.</w:t>
      </w:r>
      <w:r w:rsidR="006D22A6">
        <w:t>5</w:t>
      </w:r>
      <w:r w:rsidRPr="00333B68">
        <w:t xml:space="preserve"> </w:t>
      </w:r>
      <w:r w:rsidR="00A14104">
        <w:tab/>
      </w:r>
      <w:r w:rsidR="00B87641" w:rsidRPr="00333B68">
        <w:t xml:space="preserve">I am </w:t>
      </w:r>
      <w:r w:rsidR="007C6A53">
        <w:t xml:space="preserve">a chartered town planner and former </w:t>
      </w:r>
      <w:r w:rsidR="00A108B2">
        <w:t xml:space="preserve">government </w:t>
      </w:r>
      <w:r w:rsidR="007C6A53" w:rsidRPr="00923093">
        <w:t>Planning Inspector</w:t>
      </w:r>
      <w:r w:rsidR="00F5450A">
        <w:t>,</w:t>
      </w:r>
      <w:r w:rsidR="00A12E79">
        <w:t xml:space="preserve"> with extensive experience in the preparation and examination of </w:t>
      </w:r>
      <w:r w:rsidR="0069318C">
        <w:t>D</w:t>
      </w:r>
      <w:r w:rsidR="00A12E79">
        <w:t xml:space="preserve">evelopment </w:t>
      </w:r>
      <w:r w:rsidR="0069318C">
        <w:t>P</w:t>
      </w:r>
      <w:r w:rsidR="00A12E79">
        <w:t xml:space="preserve">lans and other planning documents. I am an independent </w:t>
      </w:r>
      <w:r w:rsidR="007C6A53">
        <w:t xml:space="preserve">examiner, </w:t>
      </w:r>
      <w:r w:rsidRPr="00333B68">
        <w:t xml:space="preserve">and do not have an interest in any of the land that may be affected by the draft </w:t>
      </w:r>
      <w:r w:rsidR="00F8204C">
        <w:t>P</w:t>
      </w:r>
      <w:r w:rsidRPr="00333B68">
        <w:t xml:space="preserve">lan. </w:t>
      </w:r>
    </w:p>
    <w:p w14:paraId="43192295" w14:textId="77777777" w:rsidR="0083641B" w:rsidRDefault="0083641B" w:rsidP="0083641B">
      <w:pPr>
        <w:spacing w:line="259" w:lineRule="auto"/>
        <w:jc w:val="left"/>
        <w:rPr>
          <w:i/>
        </w:rPr>
      </w:pPr>
    </w:p>
    <w:p w14:paraId="71AD8309" w14:textId="6BA7C184" w:rsidR="001E7466" w:rsidRDefault="003E0584" w:rsidP="0083641B">
      <w:pPr>
        <w:spacing w:line="259" w:lineRule="auto"/>
        <w:jc w:val="left"/>
        <w:rPr>
          <w:i/>
        </w:rPr>
      </w:pPr>
      <w:r w:rsidRPr="00935330">
        <w:rPr>
          <w:i/>
        </w:rPr>
        <w:t>The Scope of the Examination</w:t>
      </w:r>
    </w:p>
    <w:p w14:paraId="1DB7DA5E" w14:textId="77777777" w:rsidR="0083641B" w:rsidRDefault="0083641B" w:rsidP="0083641B">
      <w:pPr>
        <w:spacing w:line="259" w:lineRule="auto"/>
        <w:jc w:val="left"/>
        <w:rPr>
          <w:i/>
        </w:rPr>
      </w:pPr>
    </w:p>
    <w:p w14:paraId="2888E921" w14:textId="561AA583" w:rsidR="00B87641" w:rsidRDefault="00935330" w:rsidP="00A14104">
      <w:pPr>
        <w:spacing w:after="160" w:line="259" w:lineRule="auto"/>
        <w:ind w:left="720" w:hanging="720"/>
        <w:jc w:val="left"/>
      </w:pPr>
      <w:r>
        <w:t>1.</w:t>
      </w:r>
      <w:r w:rsidR="006D22A6">
        <w:t>6</w:t>
      </w:r>
      <w:r>
        <w:t xml:space="preserve"> </w:t>
      </w:r>
      <w:r w:rsidR="00A14104">
        <w:tab/>
      </w:r>
      <w:r w:rsidR="00B87641">
        <w:t>As the independent examiner I am required to produce this report and recommend either:</w:t>
      </w:r>
    </w:p>
    <w:p w14:paraId="27647061" w14:textId="68773036" w:rsidR="00B87641" w:rsidRDefault="00B87641" w:rsidP="00A14104">
      <w:pPr>
        <w:spacing w:after="160" w:line="259" w:lineRule="auto"/>
        <w:ind w:left="720" w:firstLine="0"/>
        <w:jc w:val="left"/>
      </w:pPr>
      <w:r>
        <w:t>(a) that the neighbourhood plan is submitted to a referendum without changes; or</w:t>
      </w:r>
    </w:p>
    <w:p w14:paraId="53380776" w14:textId="62D1623C" w:rsidR="00B87641" w:rsidRDefault="00B87641" w:rsidP="00A14104">
      <w:pPr>
        <w:spacing w:after="160" w:line="259" w:lineRule="auto"/>
        <w:ind w:left="720" w:firstLine="0"/>
        <w:jc w:val="left"/>
      </w:pPr>
      <w:r>
        <w:t>(b) that modifications are made and that the modified neighbourhood plan is submitted to a referendum; or</w:t>
      </w:r>
    </w:p>
    <w:p w14:paraId="27832BFC" w14:textId="0E317683" w:rsidR="00B87641" w:rsidRDefault="00B87641" w:rsidP="00A14104">
      <w:pPr>
        <w:spacing w:line="259" w:lineRule="auto"/>
        <w:ind w:left="720" w:firstLine="0"/>
        <w:jc w:val="left"/>
      </w:pPr>
      <w:r>
        <w:t xml:space="preserve">(c) that the neighbourhood plan does not proceed to a referendum on the basis that it does not meet the necessary legal requirements. </w:t>
      </w:r>
    </w:p>
    <w:p w14:paraId="6E3B2E86" w14:textId="77777777" w:rsidR="00935330" w:rsidRDefault="00935330" w:rsidP="00935330">
      <w:pPr>
        <w:spacing w:line="259" w:lineRule="auto"/>
        <w:jc w:val="left"/>
      </w:pPr>
    </w:p>
    <w:p w14:paraId="6AA0B2EA" w14:textId="37D5ECF1" w:rsidR="00935330" w:rsidRDefault="00B87641" w:rsidP="00A14104">
      <w:pPr>
        <w:spacing w:line="259" w:lineRule="auto"/>
        <w:ind w:left="720" w:hanging="720"/>
        <w:jc w:val="left"/>
      </w:pPr>
      <w:r>
        <w:t>1.</w:t>
      </w:r>
      <w:r w:rsidR="006D22A6">
        <w:t>7</w:t>
      </w:r>
      <w:r>
        <w:t xml:space="preserve"> </w:t>
      </w:r>
      <w:r w:rsidR="00A14104">
        <w:tab/>
      </w:r>
      <w:r>
        <w:t xml:space="preserve">The </w:t>
      </w:r>
      <w:r w:rsidR="002B0246">
        <w:t xml:space="preserve">scope of the </w:t>
      </w:r>
      <w:r>
        <w:t>exa</w:t>
      </w:r>
      <w:r w:rsidR="00D83E1F">
        <w:t xml:space="preserve">mination </w:t>
      </w:r>
      <w:r w:rsidR="002B0246">
        <w:t xml:space="preserve">is set out in </w:t>
      </w:r>
      <w:r>
        <w:t>Paragra</w:t>
      </w:r>
      <w:r w:rsidR="00D83E1F">
        <w:t>ph</w:t>
      </w:r>
      <w:r>
        <w:t xml:space="preserve"> 8(1) of</w:t>
      </w:r>
      <w:r w:rsidR="00E82D45">
        <w:t xml:space="preserve"> Schedule 4B to</w:t>
      </w:r>
      <w:r>
        <w:t xml:space="preserve"> the Town and Country Planning Act 1990</w:t>
      </w:r>
      <w:r w:rsidR="001D32D9">
        <w:t xml:space="preserve"> (as amended)</w:t>
      </w:r>
      <w:r w:rsidR="00A12E79">
        <w:t xml:space="preserve"> </w:t>
      </w:r>
      <w:r w:rsidR="0083641B">
        <w:t>(‘the 1990 Act’)</w:t>
      </w:r>
      <w:r w:rsidR="00D83E1F">
        <w:t xml:space="preserve">. </w:t>
      </w:r>
      <w:r w:rsidR="005F4B5D">
        <w:t>The examiner must consider</w:t>
      </w:r>
      <w:r w:rsidR="00D83E1F">
        <w:t xml:space="preserve">: </w:t>
      </w:r>
    </w:p>
    <w:p w14:paraId="343B3C6E" w14:textId="77777777" w:rsidR="00917828" w:rsidRDefault="00917828" w:rsidP="007C2442">
      <w:pPr>
        <w:spacing w:line="259" w:lineRule="auto"/>
        <w:jc w:val="left"/>
      </w:pPr>
    </w:p>
    <w:p w14:paraId="524366D1" w14:textId="5E5F50B9" w:rsidR="007C2442" w:rsidRDefault="00E718D8" w:rsidP="00DA0078">
      <w:pPr>
        <w:pStyle w:val="ListParagraph"/>
        <w:numPr>
          <w:ilvl w:val="0"/>
          <w:numId w:val="8"/>
        </w:numPr>
        <w:spacing w:after="160" w:line="259" w:lineRule="auto"/>
        <w:ind w:left="1418" w:hanging="425"/>
        <w:jc w:val="left"/>
      </w:pPr>
      <w:r>
        <w:t>Whether the P</w:t>
      </w:r>
      <w:r w:rsidR="007C2442">
        <w:t>lan meets the Basic Conditions;</w:t>
      </w:r>
    </w:p>
    <w:p w14:paraId="7ECC3C16" w14:textId="77777777" w:rsidR="007C2442" w:rsidRDefault="007C2442" w:rsidP="007C2442">
      <w:pPr>
        <w:pStyle w:val="ListParagraph"/>
        <w:spacing w:after="160" w:line="259" w:lineRule="auto"/>
        <w:ind w:left="1418" w:firstLine="0"/>
        <w:jc w:val="left"/>
      </w:pPr>
    </w:p>
    <w:p w14:paraId="7C2A01DD" w14:textId="6CF4D2B5" w:rsidR="007C2442" w:rsidRDefault="007C2442" w:rsidP="00DA0078">
      <w:pPr>
        <w:pStyle w:val="ListParagraph"/>
        <w:numPr>
          <w:ilvl w:val="0"/>
          <w:numId w:val="8"/>
        </w:numPr>
        <w:spacing w:after="160" w:line="259" w:lineRule="auto"/>
        <w:ind w:left="1418" w:hanging="425"/>
        <w:jc w:val="left"/>
      </w:pPr>
      <w:r>
        <w:t xml:space="preserve">Whether the </w:t>
      </w:r>
      <w:r w:rsidR="00E718D8">
        <w:t>P</w:t>
      </w:r>
      <w:r>
        <w:t>lan complies with provisions under s.38A and s.38B of the Planning and Compulsory Purchase Act 2004 (as amended)</w:t>
      </w:r>
      <w:r w:rsidR="00060C6F">
        <w:t xml:space="preserve"> (‘the 2004 Act’)</w:t>
      </w:r>
      <w:r>
        <w:t>. These are:</w:t>
      </w:r>
    </w:p>
    <w:p w14:paraId="72966E72" w14:textId="2C385156" w:rsidR="007C2442" w:rsidRDefault="007C2442" w:rsidP="007C2442">
      <w:pPr>
        <w:spacing w:after="160" w:line="259" w:lineRule="auto"/>
        <w:ind w:left="1843" w:hanging="425"/>
        <w:jc w:val="left"/>
      </w:pPr>
      <w:r>
        <w:t xml:space="preserve">- </w:t>
      </w:r>
      <w:r>
        <w:tab/>
        <w:t xml:space="preserve">it has been prepared and submitted for examination by a qualifying body, for an area that has been properly designated by the </w:t>
      </w:r>
      <w:r w:rsidR="0087061E">
        <w:t>l</w:t>
      </w:r>
      <w:r>
        <w:t xml:space="preserve">ocal </w:t>
      </w:r>
      <w:r w:rsidR="0087061E">
        <w:t>p</w:t>
      </w:r>
      <w:r>
        <w:t xml:space="preserve">lanning </w:t>
      </w:r>
      <w:r w:rsidR="0087061E">
        <w:t>a</w:t>
      </w:r>
      <w:r>
        <w:t>uthority;</w:t>
      </w:r>
    </w:p>
    <w:p w14:paraId="101812AA" w14:textId="77777777" w:rsidR="007C2442" w:rsidRDefault="007C2442" w:rsidP="007C2442">
      <w:pPr>
        <w:spacing w:after="160" w:line="259" w:lineRule="auto"/>
        <w:ind w:left="1843" w:hanging="425"/>
        <w:jc w:val="left"/>
      </w:pPr>
      <w:r>
        <w:t>-</w:t>
      </w:r>
      <w:r>
        <w:tab/>
        <w:t xml:space="preserve">it sets out policies in relation to the development and use of land; </w:t>
      </w:r>
    </w:p>
    <w:p w14:paraId="0690B1FE" w14:textId="77777777" w:rsidR="007C2442" w:rsidRDefault="007C2442" w:rsidP="00DA0078">
      <w:pPr>
        <w:pStyle w:val="ListParagraph"/>
        <w:numPr>
          <w:ilvl w:val="0"/>
          <w:numId w:val="9"/>
        </w:numPr>
        <w:tabs>
          <w:tab w:val="left" w:pos="1843"/>
        </w:tabs>
        <w:spacing w:after="160" w:line="259" w:lineRule="auto"/>
        <w:ind w:hanging="720"/>
        <w:jc w:val="left"/>
      </w:pPr>
      <w:r>
        <w:t>it specifies the period during which it has effect;</w:t>
      </w:r>
    </w:p>
    <w:p w14:paraId="78091385" w14:textId="77777777" w:rsidR="007C2442" w:rsidRDefault="007C2442" w:rsidP="007C2442">
      <w:pPr>
        <w:pStyle w:val="ListParagraph"/>
        <w:tabs>
          <w:tab w:val="left" w:pos="1755"/>
        </w:tabs>
        <w:spacing w:after="160" w:line="259" w:lineRule="auto"/>
        <w:ind w:left="2138" w:firstLine="0"/>
        <w:jc w:val="left"/>
      </w:pPr>
    </w:p>
    <w:p w14:paraId="0F3EC2A4" w14:textId="77777777" w:rsidR="007C2442" w:rsidRDefault="007C2442" w:rsidP="00DA0078">
      <w:pPr>
        <w:pStyle w:val="ListParagraph"/>
        <w:numPr>
          <w:ilvl w:val="0"/>
          <w:numId w:val="9"/>
        </w:numPr>
        <w:tabs>
          <w:tab w:val="left" w:pos="1843"/>
        </w:tabs>
        <w:spacing w:after="160" w:line="259" w:lineRule="auto"/>
        <w:ind w:left="1843" w:hanging="425"/>
        <w:jc w:val="left"/>
      </w:pPr>
      <w:r>
        <w:lastRenderedPageBreak/>
        <w:t xml:space="preserve">it does not include provisions and policies for ‘excluded development’; </w:t>
      </w:r>
    </w:p>
    <w:p w14:paraId="75BDC1A6" w14:textId="77777777" w:rsidR="007C2442" w:rsidRDefault="007C2442" w:rsidP="007C2442">
      <w:pPr>
        <w:pStyle w:val="ListParagraph"/>
      </w:pPr>
    </w:p>
    <w:p w14:paraId="0BBB06BA" w14:textId="74BE4B47" w:rsidR="007C2442" w:rsidRDefault="007C2442" w:rsidP="00DA0078">
      <w:pPr>
        <w:pStyle w:val="ListParagraph"/>
        <w:numPr>
          <w:ilvl w:val="0"/>
          <w:numId w:val="9"/>
        </w:numPr>
        <w:tabs>
          <w:tab w:val="left" w:pos="1843"/>
        </w:tabs>
        <w:spacing w:after="160" w:line="259" w:lineRule="auto"/>
        <w:ind w:left="1843" w:hanging="425"/>
        <w:jc w:val="left"/>
      </w:pPr>
      <w:r>
        <w:t xml:space="preserve">it is the only </w:t>
      </w:r>
      <w:r w:rsidR="00E718D8">
        <w:t>n</w:t>
      </w:r>
      <w:r>
        <w:t xml:space="preserve">eighbourhood </w:t>
      </w:r>
      <w:r w:rsidR="00E718D8">
        <w:t>p</w:t>
      </w:r>
      <w:r>
        <w:t>lan for the area and does not relate to land outside the designated neighbourhood area;</w:t>
      </w:r>
    </w:p>
    <w:p w14:paraId="20FDC625" w14:textId="1E0422DE" w:rsidR="007C2442" w:rsidRDefault="007C2442" w:rsidP="007C2442">
      <w:pPr>
        <w:spacing w:after="160" w:line="259" w:lineRule="auto"/>
        <w:ind w:left="1843" w:hanging="425"/>
        <w:jc w:val="left"/>
      </w:pPr>
      <w:r>
        <w:t>-</w:t>
      </w:r>
      <w:r>
        <w:tab/>
        <w:t>whether the referendum boundary should be extended beyond t</w:t>
      </w:r>
      <w:r w:rsidR="00E718D8">
        <w:t>he designated area, should the P</w:t>
      </w:r>
      <w:r>
        <w:t xml:space="preserve">lan proceed to referendum; and </w:t>
      </w:r>
    </w:p>
    <w:p w14:paraId="42A7323D" w14:textId="21269FC2" w:rsidR="007C2442" w:rsidRDefault="007C2442" w:rsidP="00DA0078">
      <w:pPr>
        <w:pStyle w:val="ListParagraph"/>
        <w:numPr>
          <w:ilvl w:val="0"/>
          <w:numId w:val="2"/>
        </w:numPr>
        <w:tabs>
          <w:tab w:val="clear" w:pos="720"/>
          <w:tab w:val="num" w:pos="1560"/>
        </w:tabs>
        <w:spacing w:line="259" w:lineRule="auto"/>
        <w:ind w:left="1418"/>
        <w:jc w:val="left"/>
      </w:pPr>
      <w:r>
        <w:t xml:space="preserve">Such matters as prescribed in the Neighbourhood Planning (General) Regulations 2012 </w:t>
      </w:r>
      <w:r w:rsidR="0087061E">
        <w:t>(as amended)</w:t>
      </w:r>
      <w:r w:rsidR="00A12E79">
        <w:t xml:space="preserve"> </w:t>
      </w:r>
      <w:r>
        <w:t>(‘the 2012 Regulations’).</w:t>
      </w:r>
    </w:p>
    <w:p w14:paraId="34258623" w14:textId="77777777" w:rsidR="007C2442" w:rsidRDefault="007C2442" w:rsidP="007C2442">
      <w:pPr>
        <w:pStyle w:val="ListParagraph"/>
        <w:tabs>
          <w:tab w:val="num" w:pos="1560"/>
        </w:tabs>
        <w:spacing w:line="259" w:lineRule="auto"/>
        <w:ind w:left="1418" w:firstLine="0"/>
        <w:jc w:val="left"/>
      </w:pPr>
    </w:p>
    <w:p w14:paraId="31FCB584" w14:textId="47E892A9" w:rsidR="001D32D9" w:rsidRPr="001D32D9" w:rsidRDefault="002B328A" w:rsidP="00A14104">
      <w:pPr>
        <w:spacing w:line="259" w:lineRule="auto"/>
        <w:ind w:left="720" w:hanging="720"/>
        <w:jc w:val="left"/>
      </w:pPr>
      <w:r>
        <w:t>1.</w:t>
      </w:r>
      <w:r w:rsidR="006D22A6">
        <w:t>8</w:t>
      </w:r>
      <w:r>
        <w:t xml:space="preserve"> </w:t>
      </w:r>
      <w:r w:rsidR="00A14104">
        <w:tab/>
      </w:r>
      <w:r w:rsidR="001D32D9" w:rsidRPr="001D32D9">
        <w:t xml:space="preserve">I </w:t>
      </w:r>
      <w:r w:rsidR="00A003A7">
        <w:t xml:space="preserve">have </w:t>
      </w:r>
      <w:r w:rsidR="001D32D9" w:rsidRPr="001D32D9">
        <w:t>consider</w:t>
      </w:r>
      <w:r w:rsidR="00A003A7">
        <w:t>ed</w:t>
      </w:r>
      <w:r w:rsidR="001D32D9" w:rsidRPr="001D32D9">
        <w:t xml:space="preserve"> </w:t>
      </w:r>
      <w:r w:rsidR="007C6A53">
        <w:t>only</w:t>
      </w:r>
      <w:r w:rsidR="001D32D9" w:rsidRPr="001D32D9">
        <w:t xml:space="preserve"> matter</w:t>
      </w:r>
      <w:r w:rsidR="007C6A53">
        <w:t>s</w:t>
      </w:r>
      <w:r w:rsidR="001D32D9" w:rsidRPr="001D32D9">
        <w:t xml:space="preserve"> that fall within </w:t>
      </w:r>
      <w:r w:rsidR="007C2442">
        <w:t>P</w:t>
      </w:r>
      <w:r w:rsidR="001D32D9" w:rsidRPr="001D32D9">
        <w:t>aragraph 8(1)</w:t>
      </w:r>
      <w:r w:rsidR="00F5450A" w:rsidRPr="00F5450A">
        <w:t xml:space="preserve"> </w:t>
      </w:r>
      <w:r w:rsidR="00F5450A">
        <w:t xml:space="preserve">of Schedule 4B to the </w:t>
      </w:r>
      <w:r w:rsidR="0083641B">
        <w:t>1990 Act</w:t>
      </w:r>
      <w:r w:rsidR="007C6A53">
        <w:t xml:space="preserve">, with one </w:t>
      </w:r>
      <w:r w:rsidR="004F6D8C">
        <w:t>exception</w:t>
      </w:r>
      <w:r w:rsidR="007C6A53">
        <w:t>.  That is</w:t>
      </w:r>
      <w:r w:rsidR="001D32D9" w:rsidRPr="001D32D9">
        <w:t xml:space="preserve"> the requ</w:t>
      </w:r>
      <w:r w:rsidR="001D32D9">
        <w:t>irement that the P</w:t>
      </w:r>
      <w:r w:rsidR="001D32D9" w:rsidRPr="001D32D9">
        <w:t>lan is com</w:t>
      </w:r>
      <w:r w:rsidR="001D32D9">
        <w:t xml:space="preserve">patible </w:t>
      </w:r>
      <w:r w:rsidR="001D32D9" w:rsidRPr="001D32D9">
        <w:t>with the Human Rights</w:t>
      </w:r>
      <w:r w:rsidR="001D32D9">
        <w:t xml:space="preserve"> </w:t>
      </w:r>
      <w:r w:rsidR="001D32D9" w:rsidRPr="001D32D9">
        <w:t>Conve</w:t>
      </w:r>
      <w:r w:rsidR="001D32D9">
        <w:t>ntion</w:t>
      </w:r>
      <w:r w:rsidR="001D32D9" w:rsidRPr="001D32D9">
        <w:t xml:space="preserve">. </w:t>
      </w:r>
    </w:p>
    <w:p w14:paraId="1EA04478" w14:textId="77777777" w:rsidR="00917828" w:rsidRDefault="00917828" w:rsidP="00917828">
      <w:pPr>
        <w:spacing w:line="259" w:lineRule="auto"/>
        <w:jc w:val="left"/>
        <w:rPr>
          <w:i/>
        </w:rPr>
      </w:pPr>
    </w:p>
    <w:p w14:paraId="38FBEFBE" w14:textId="421BE36B" w:rsidR="002B0246" w:rsidRDefault="002B328A" w:rsidP="00917828">
      <w:pPr>
        <w:spacing w:line="259" w:lineRule="auto"/>
        <w:jc w:val="left"/>
      </w:pPr>
      <w:r>
        <w:rPr>
          <w:i/>
        </w:rPr>
        <w:t xml:space="preserve">The </w:t>
      </w:r>
      <w:r w:rsidR="002B0246" w:rsidRPr="00935330">
        <w:rPr>
          <w:i/>
        </w:rPr>
        <w:t>Basic Condition</w:t>
      </w:r>
      <w:r w:rsidR="002B0246">
        <w:t>s</w:t>
      </w:r>
    </w:p>
    <w:p w14:paraId="42F048A0" w14:textId="77777777" w:rsidR="00917828" w:rsidRDefault="00917828" w:rsidP="00917828">
      <w:pPr>
        <w:spacing w:line="259" w:lineRule="auto"/>
        <w:jc w:val="left"/>
      </w:pPr>
    </w:p>
    <w:p w14:paraId="3429111C" w14:textId="43219760" w:rsidR="002B0246" w:rsidRDefault="002B328A" w:rsidP="00A14104">
      <w:pPr>
        <w:spacing w:after="160" w:line="259" w:lineRule="auto"/>
        <w:ind w:left="720" w:hanging="720"/>
        <w:jc w:val="left"/>
      </w:pPr>
      <w:r>
        <w:t>1.</w:t>
      </w:r>
      <w:r w:rsidR="006D22A6">
        <w:t>9</w:t>
      </w:r>
      <w:r>
        <w:t xml:space="preserve"> </w:t>
      </w:r>
      <w:r w:rsidR="00A14104">
        <w:tab/>
      </w:r>
      <w:r>
        <w:t>The</w:t>
      </w:r>
      <w:r w:rsidR="002B0246">
        <w:t xml:space="preserve"> ‘Basic Conditions’</w:t>
      </w:r>
      <w:r w:rsidR="00413C57">
        <w:t xml:space="preserve"> are</w:t>
      </w:r>
      <w:r w:rsidR="002B0246">
        <w:t xml:space="preserve"> set out in </w:t>
      </w:r>
      <w:r w:rsidR="007C2442">
        <w:t>P</w:t>
      </w:r>
      <w:r w:rsidR="002B0246">
        <w:t>aragraph 8(2) of Schedule 4B to the 1990</w:t>
      </w:r>
      <w:r w:rsidR="001D32D9">
        <w:t xml:space="preserve"> </w:t>
      </w:r>
      <w:r w:rsidR="0083641B">
        <w:t>Act</w:t>
      </w:r>
      <w:r w:rsidR="002B0246">
        <w:t xml:space="preserve">. In order to meet the </w:t>
      </w:r>
      <w:r w:rsidR="00BB191A">
        <w:t>B</w:t>
      </w:r>
      <w:r w:rsidR="002B0246">
        <w:t xml:space="preserve">asic </w:t>
      </w:r>
      <w:r w:rsidR="00BB191A">
        <w:t>C</w:t>
      </w:r>
      <w:r w:rsidR="002B0246">
        <w:t>onditions, the neighbourhood plan must:</w:t>
      </w:r>
    </w:p>
    <w:p w14:paraId="39BB3645" w14:textId="73C8C6B4" w:rsidR="007C2442" w:rsidRDefault="002B0246" w:rsidP="00DA0078">
      <w:pPr>
        <w:pStyle w:val="ListParagraph"/>
        <w:numPr>
          <w:ilvl w:val="0"/>
          <w:numId w:val="7"/>
        </w:numPr>
        <w:tabs>
          <w:tab w:val="left" w:pos="1276"/>
        </w:tabs>
        <w:spacing w:after="160" w:line="259" w:lineRule="auto"/>
        <w:jc w:val="left"/>
      </w:pPr>
      <w:r>
        <w:tab/>
      </w:r>
      <w:r w:rsidR="007C2442">
        <w:t>Have regard to national policies and advice contained in guidance issued by the Secretary of State;</w:t>
      </w:r>
    </w:p>
    <w:p w14:paraId="5E1DC311" w14:textId="77777777" w:rsidR="007C2442" w:rsidRDefault="007C2442" w:rsidP="007C2442">
      <w:pPr>
        <w:pStyle w:val="ListParagraph"/>
        <w:tabs>
          <w:tab w:val="left" w:pos="1276"/>
        </w:tabs>
        <w:spacing w:after="160" w:line="259" w:lineRule="auto"/>
        <w:ind w:left="1287" w:firstLine="0"/>
        <w:jc w:val="left"/>
      </w:pPr>
    </w:p>
    <w:p w14:paraId="36D14063" w14:textId="77777777" w:rsidR="007C2442" w:rsidRDefault="007C2442" w:rsidP="00DA0078">
      <w:pPr>
        <w:pStyle w:val="ListParagraph"/>
        <w:numPr>
          <w:ilvl w:val="0"/>
          <w:numId w:val="7"/>
        </w:numPr>
        <w:tabs>
          <w:tab w:val="left" w:pos="993"/>
        </w:tabs>
        <w:spacing w:after="160" w:line="259" w:lineRule="auto"/>
        <w:jc w:val="left"/>
      </w:pPr>
      <w:r>
        <w:t>Contribute to the achievement of sustainable development;</w:t>
      </w:r>
    </w:p>
    <w:p w14:paraId="149FEE4F" w14:textId="77777777" w:rsidR="007C2442" w:rsidRDefault="007C2442" w:rsidP="007C2442">
      <w:pPr>
        <w:pStyle w:val="ListParagraph"/>
        <w:tabs>
          <w:tab w:val="left" w:pos="993"/>
        </w:tabs>
        <w:spacing w:after="160" w:line="259" w:lineRule="auto"/>
        <w:ind w:left="1287" w:firstLine="0"/>
        <w:jc w:val="left"/>
      </w:pPr>
    </w:p>
    <w:p w14:paraId="56860618" w14:textId="77777777" w:rsidR="007C2442" w:rsidRDefault="007C2442" w:rsidP="00DA0078">
      <w:pPr>
        <w:pStyle w:val="ListParagraph"/>
        <w:numPr>
          <w:ilvl w:val="0"/>
          <w:numId w:val="7"/>
        </w:numPr>
        <w:tabs>
          <w:tab w:val="left" w:pos="993"/>
        </w:tabs>
        <w:spacing w:after="160" w:line="259" w:lineRule="auto"/>
        <w:jc w:val="left"/>
      </w:pPr>
      <w:r>
        <w:t xml:space="preserve">Be in general conformity with the strategic policies of the development plan for the area; </w:t>
      </w:r>
    </w:p>
    <w:p w14:paraId="6EA4A5CD" w14:textId="77777777" w:rsidR="007C2442" w:rsidRDefault="007C2442" w:rsidP="007C2442">
      <w:pPr>
        <w:pStyle w:val="ListParagraph"/>
        <w:tabs>
          <w:tab w:val="left" w:pos="993"/>
        </w:tabs>
        <w:spacing w:after="160" w:line="259" w:lineRule="auto"/>
        <w:ind w:left="1287" w:firstLine="0"/>
        <w:jc w:val="left"/>
      </w:pPr>
    </w:p>
    <w:p w14:paraId="3D799692" w14:textId="77777777" w:rsidR="007C2442" w:rsidRDefault="007C2442" w:rsidP="00DA0078">
      <w:pPr>
        <w:pStyle w:val="ListParagraph"/>
        <w:numPr>
          <w:ilvl w:val="0"/>
          <w:numId w:val="7"/>
        </w:numPr>
        <w:tabs>
          <w:tab w:val="left" w:pos="993"/>
        </w:tabs>
        <w:spacing w:after="160" w:line="259" w:lineRule="auto"/>
        <w:jc w:val="left"/>
      </w:pPr>
      <w:r>
        <w:t>Be compatible with and not breach European Union (EU) obligations; and</w:t>
      </w:r>
    </w:p>
    <w:p w14:paraId="7C92247F" w14:textId="77777777" w:rsidR="007C2442" w:rsidRDefault="007C2442" w:rsidP="007C2442">
      <w:pPr>
        <w:pStyle w:val="ListParagraph"/>
        <w:tabs>
          <w:tab w:val="left" w:pos="993"/>
        </w:tabs>
        <w:spacing w:after="160" w:line="259" w:lineRule="auto"/>
        <w:ind w:left="1287" w:firstLine="0"/>
        <w:jc w:val="left"/>
      </w:pPr>
    </w:p>
    <w:p w14:paraId="0D8F0497" w14:textId="78C1E91A" w:rsidR="007C2442" w:rsidRDefault="007C2442" w:rsidP="00DA0078">
      <w:pPr>
        <w:pStyle w:val="ListParagraph"/>
        <w:numPr>
          <w:ilvl w:val="0"/>
          <w:numId w:val="7"/>
        </w:numPr>
        <w:tabs>
          <w:tab w:val="left" w:pos="993"/>
        </w:tabs>
        <w:spacing w:line="259" w:lineRule="auto"/>
        <w:jc w:val="left"/>
      </w:pPr>
      <w:r>
        <w:t>Meet prescribed conditions and comply with prescribed matters.</w:t>
      </w:r>
    </w:p>
    <w:p w14:paraId="42188926" w14:textId="2ABDF205" w:rsidR="007C2442" w:rsidRDefault="007C2442" w:rsidP="007C2442">
      <w:pPr>
        <w:tabs>
          <w:tab w:val="left" w:pos="993"/>
        </w:tabs>
        <w:spacing w:line="259" w:lineRule="auto"/>
        <w:ind w:left="0" w:firstLine="0"/>
        <w:jc w:val="left"/>
      </w:pPr>
    </w:p>
    <w:p w14:paraId="78985804" w14:textId="45980A81" w:rsidR="006D22A6" w:rsidRDefault="002B0246" w:rsidP="00A14104">
      <w:pPr>
        <w:spacing w:line="259" w:lineRule="auto"/>
        <w:ind w:left="720" w:hanging="720"/>
        <w:jc w:val="left"/>
      </w:pPr>
      <w:r w:rsidRPr="0088415F">
        <w:t>1.</w:t>
      </w:r>
      <w:r w:rsidR="006D22A6">
        <w:t>10</w:t>
      </w:r>
      <w:r w:rsidRPr="0088415F">
        <w:t xml:space="preserve"> </w:t>
      </w:r>
      <w:r w:rsidR="00A14104">
        <w:tab/>
      </w:r>
      <w:r>
        <w:t xml:space="preserve">Regulation 32 </w:t>
      </w:r>
      <w:r w:rsidR="006D22A6">
        <w:t>and Schedule 2 to</w:t>
      </w:r>
      <w:r>
        <w:t xml:space="preserve"> the </w:t>
      </w:r>
      <w:r w:rsidR="002B328A">
        <w:t xml:space="preserve">2012 </w:t>
      </w:r>
      <w:r>
        <w:t xml:space="preserve">Regulations </w:t>
      </w:r>
      <w:r w:rsidR="002B328A">
        <w:t>p</w:t>
      </w:r>
      <w:r>
        <w:t xml:space="preserve">rescribes a further </w:t>
      </w:r>
      <w:r w:rsidR="0083641B">
        <w:t>B</w:t>
      </w:r>
      <w:r>
        <w:t xml:space="preserve">asic </w:t>
      </w:r>
      <w:r w:rsidR="0083641B">
        <w:t>C</w:t>
      </w:r>
      <w:r>
        <w:t>ondition</w:t>
      </w:r>
      <w:r w:rsidR="00A108B2">
        <w:t xml:space="preserve"> for a neighbourhood plan</w:t>
      </w:r>
      <w:r>
        <w:t>. This requires that the</w:t>
      </w:r>
      <w:r w:rsidR="006D22A6">
        <w:t xml:space="preserve"> making of the </w:t>
      </w:r>
      <w:r>
        <w:t xml:space="preserve">neighbourhood </w:t>
      </w:r>
      <w:r w:rsidR="006D22A6">
        <w:t xml:space="preserve">development </w:t>
      </w:r>
      <w:r>
        <w:t>plan</w:t>
      </w:r>
      <w:r w:rsidR="006D22A6">
        <w:t xml:space="preserve"> does not breach the requirements of Chapter 8 of Part 6 of the </w:t>
      </w:r>
      <w:r>
        <w:t>Conservation of Habitats and Species Regulations 201</w:t>
      </w:r>
      <w:r w:rsidR="0087061E">
        <w:t>7</w:t>
      </w:r>
      <w:r w:rsidR="006D22A6">
        <w:rPr>
          <w:rStyle w:val="FootnoteReference"/>
        </w:rPr>
        <w:footnoteReference w:id="1"/>
      </w:r>
      <w:r w:rsidR="006D22A6">
        <w:t>.</w:t>
      </w:r>
    </w:p>
    <w:p w14:paraId="4CF86E81" w14:textId="7F263A52" w:rsidR="002B0246" w:rsidRDefault="002B0246" w:rsidP="00917828">
      <w:pPr>
        <w:spacing w:line="259" w:lineRule="auto"/>
        <w:jc w:val="left"/>
      </w:pPr>
      <w:r>
        <w:t xml:space="preserve"> </w:t>
      </w:r>
    </w:p>
    <w:p w14:paraId="42FDDE15" w14:textId="65816ECD" w:rsidR="007C2442" w:rsidRDefault="007C2442" w:rsidP="00917828">
      <w:pPr>
        <w:spacing w:line="259" w:lineRule="auto"/>
        <w:jc w:val="left"/>
      </w:pPr>
    </w:p>
    <w:p w14:paraId="31848E3B" w14:textId="77777777" w:rsidR="00917828" w:rsidRDefault="00917828" w:rsidP="00917828">
      <w:pPr>
        <w:spacing w:line="259" w:lineRule="auto"/>
        <w:jc w:val="left"/>
      </w:pPr>
    </w:p>
    <w:p w14:paraId="71B426DF" w14:textId="7739AC0D" w:rsidR="00514D35" w:rsidRDefault="00763B54" w:rsidP="00DA0078">
      <w:pPr>
        <w:pStyle w:val="ListParagraph"/>
        <w:numPr>
          <w:ilvl w:val="2"/>
          <w:numId w:val="1"/>
        </w:numPr>
        <w:spacing w:line="259" w:lineRule="auto"/>
        <w:ind w:left="360"/>
        <w:jc w:val="left"/>
        <w:rPr>
          <w:b/>
        </w:rPr>
      </w:pPr>
      <w:r>
        <w:rPr>
          <w:b/>
        </w:rPr>
        <w:lastRenderedPageBreak/>
        <w:t xml:space="preserve">Approach to the </w:t>
      </w:r>
      <w:r w:rsidR="005C46B1">
        <w:rPr>
          <w:b/>
        </w:rPr>
        <w:t>Examination</w:t>
      </w:r>
    </w:p>
    <w:p w14:paraId="7A8A670E" w14:textId="77777777" w:rsidR="0083641B" w:rsidRPr="00514D35" w:rsidRDefault="0083641B" w:rsidP="0083641B">
      <w:pPr>
        <w:pStyle w:val="ListParagraph"/>
        <w:spacing w:line="259" w:lineRule="auto"/>
        <w:ind w:left="360" w:firstLine="0"/>
        <w:jc w:val="left"/>
        <w:rPr>
          <w:b/>
        </w:rPr>
      </w:pPr>
    </w:p>
    <w:p w14:paraId="27443B50" w14:textId="54473BFA" w:rsidR="00846A98" w:rsidRDefault="00846A98" w:rsidP="0083641B">
      <w:pPr>
        <w:spacing w:line="259" w:lineRule="auto"/>
        <w:jc w:val="left"/>
        <w:rPr>
          <w:i/>
        </w:rPr>
      </w:pPr>
      <w:r w:rsidRPr="00514D35">
        <w:rPr>
          <w:i/>
        </w:rPr>
        <w:t>Planning Policy Context</w:t>
      </w:r>
    </w:p>
    <w:p w14:paraId="4BD4DB28" w14:textId="77777777" w:rsidR="0083641B" w:rsidRPr="00514D35" w:rsidRDefault="0083641B" w:rsidP="0083641B">
      <w:pPr>
        <w:spacing w:line="259" w:lineRule="auto"/>
        <w:jc w:val="left"/>
        <w:rPr>
          <w:i/>
        </w:rPr>
      </w:pPr>
    </w:p>
    <w:p w14:paraId="7FA4411A" w14:textId="44F84AC2" w:rsidR="00846A98" w:rsidRDefault="009641FD" w:rsidP="00A14104">
      <w:pPr>
        <w:spacing w:line="259" w:lineRule="auto"/>
        <w:ind w:left="720" w:hanging="720"/>
        <w:jc w:val="left"/>
      </w:pPr>
      <w:r>
        <w:t xml:space="preserve">2.1 </w:t>
      </w:r>
      <w:r w:rsidR="00A14104">
        <w:tab/>
      </w:r>
      <w:r w:rsidR="00846A98">
        <w:t xml:space="preserve">The </w:t>
      </w:r>
      <w:r w:rsidR="00A12E79">
        <w:t xml:space="preserve">planning policy framework </w:t>
      </w:r>
      <w:r w:rsidR="00846A98">
        <w:t xml:space="preserve">for </w:t>
      </w:r>
      <w:r w:rsidR="004F6D8C">
        <w:t xml:space="preserve">this part of </w:t>
      </w:r>
      <w:r w:rsidR="00A12E79">
        <w:t>Camden</w:t>
      </w:r>
      <w:r w:rsidR="00B2297D">
        <w:t xml:space="preserve"> Council</w:t>
      </w:r>
      <w:r w:rsidR="005B50E6">
        <w:t xml:space="preserve">, not including documents relating to excluded minerals and waste development, </w:t>
      </w:r>
      <w:r w:rsidR="00846A98">
        <w:t xml:space="preserve">is the </w:t>
      </w:r>
      <w:r w:rsidR="00A12E79">
        <w:t>Camden</w:t>
      </w:r>
      <w:r w:rsidR="004F6D8C">
        <w:t xml:space="preserve"> </w:t>
      </w:r>
      <w:r w:rsidR="00B2297D">
        <w:t>Local Plan</w:t>
      </w:r>
      <w:r w:rsidR="008A0420">
        <w:t xml:space="preserve"> </w:t>
      </w:r>
      <w:r w:rsidR="00C323A7">
        <w:t>(</w:t>
      </w:r>
      <w:r w:rsidR="008A0420">
        <w:t xml:space="preserve">2016 </w:t>
      </w:r>
      <w:r w:rsidR="00C323A7">
        <w:t>–</w:t>
      </w:r>
      <w:r w:rsidR="008A0420">
        <w:t xml:space="preserve"> 2031</w:t>
      </w:r>
      <w:r w:rsidR="00C323A7">
        <w:t>)</w:t>
      </w:r>
      <w:r w:rsidR="00B2297D">
        <w:t xml:space="preserve"> </w:t>
      </w:r>
      <w:r w:rsidR="008A0420">
        <w:t>(adopted July 2017)</w:t>
      </w:r>
      <w:r w:rsidR="00846A98">
        <w:t xml:space="preserve"> </w:t>
      </w:r>
      <w:r w:rsidR="00B2297D">
        <w:t xml:space="preserve">and </w:t>
      </w:r>
      <w:r w:rsidR="008A0420">
        <w:t xml:space="preserve">the </w:t>
      </w:r>
      <w:r w:rsidR="00C323A7">
        <w:t>London</w:t>
      </w:r>
      <w:r w:rsidR="006D22A6">
        <w:t xml:space="preserve"> </w:t>
      </w:r>
      <w:r w:rsidR="00C323A7">
        <w:t>Plan</w:t>
      </w:r>
      <w:r w:rsidR="006D22A6">
        <w:t xml:space="preserve"> of 2016 (consolidated with alterations</w:t>
      </w:r>
      <w:r w:rsidR="004D10B6">
        <w:t>)</w:t>
      </w:r>
      <w:r w:rsidR="00846A98">
        <w:t>.</w:t>
      </w:r>
      <w:r w:rsidR="004D10B6">
        <w:t xml:space="preserve"> The examination into the Review of the London Plan is underway (hearing sessions have been held) but the Report of the Panel has not yet been completed. The potential for change to the wider planning framework is not a reason to delay progress on the DPNP but the </w:t>
      </w:r>
      <w:r w:rsidR="009A6996">
        <w:t>DP</w:t>
      </w:r>
      <w:r w:rsidR="004D10B6">
        <w:t xml:space="preserve">NF should remain vigilant in order to be aware of any implications the changes may have for the DPNP. </w:t>
      </w:r>
      <w:r w:rsidR="00846A98">
        <w:t xml:space="preserve"> </w:t>
      </w:r>
    </w:p>
    <w:p w14:paraId="5F206544" w14:textId="77777777" w:rsidR="0083641B" w:rsidRPr="0088415F" w:rsidRDefault="0083641B" w:rsidP="0083641B">
      <w:pPr>
        <w:spacing w:line="259" w:lineRule="auto"/>
        <w:jc w:val="left"/>
      </w:pPr>
    </w:p>
    <w:p w14:paraId="5B6288DE" w14:textId="12AA8D88" w:rsidR="00846A98" w:rsidRDefault="009641FD" w:rsidP="00657D63">
      <w:pPr>
        <w:ind w:left="720" w:hanging="720"/>
        <w:jc w:val="left"/>
      </w:pPr>
      <w:r>
        <w:t xml:space="preserve">2.2 </w:t>
      </w:r>
      <w:r w:rsidR="00A14104">
        <w:tab/>
      </w:r>
      <w:r w:rsidR="00846A98">
        <w:t>The planning policy for England is set out principally in the National Planning Policy Framework</w:t>
      </w:r>
      <w:r w:rsidR="004F6D8C">
        <w:t xml:space="preserve"> (NPPF)</w:t>
      </w:r>
      <w:r w:rsidR="006D64E0">
        <w:t xml:space="preserve"> and additional guidance is provide</w:t>
      </w:r>
      <w:r w:rsidR="00334700">
        <w:t>d</w:t>
      </w:r>
      <w:r w:rsidR="006D64E0">
        <w:t xml:space="preserve"> in the Planning Practice Guidance (PPG)</w:t>
      </w:r>
      <w:r w:rsidR="00846A98">
        <w:t>.</w:t>
      </w:r>
      <w:r w:rsidR="008A0420">
        <w:t xml:space="preserve"> </w:t>
      </w:r>
      <w:r w:rsidR="00F8204C">
        <w:t>R</w:t>
      </w:r>
      <w:r w:rsidR="004D10B6">
        <w:t xml:space="preserve">evised </w:t>
      </w:r>
      <w:r w:rsidR="00F8204C">
        <w:t xml:space="preserve">versions of the </w:t>
      </w:r>
      <w:r w:rsidR="004D10B6">
        <w:t>NPPF w</w:t>
      </w:r>
      <w:r w:rsidR="00F8204C">
        <w:t>ere</w:t>
      </w:r>
      <w:r w:rsidR="004D10B6">
        <w:t xml:space="preserve"> published on 24 July 201</w:t>
      </w:r>
      <w:r w:rsidR="00657D63">
        <w:t>8</w:t>
      </w:r>
      <w:r w:rsidR="00F8204C">
        <w:t xml:space="preserve"> and 19 February 2019</w:t>
      </w:r>
      <w:r w:rsidR="00657D63">
        <w:t xml:space="preserve">, replacing the 2012 version. </w:t>
      </w:r>
      <w:r w:rsidR="004D10B6">
        <w:t xml:space="preserve">The transitional arrangements for neighbourhood plans </w:t>
      </w:r>
      <w:r w:rsidR="00F8204C">
        <w:t>were</w:t>
      </w:r>
      <w:r w:rsidR="004D10B6">
        <w:t xml:space="preserve"> set out in paragraph 214 of the NPPF 2018</w:t>
      </w:r>
      <w:r w:rsidR="00F8204C">
        <w:t xml:space="preserve"> (and repeated in the NPPF 2019)</w:t>
      </w:r>
      <w:r w:rsidR="004D10B6">
        <w:t>, provid</w:t>
      </w:r>
      <w:r w:rsidR="009F2A60">
        <w:t>ing that</w:t>
      </w:r>
      <w:r w:rsidR="004D10B6">
        <w:t xml:space="preserve"> ‘the policies in the previous framework will apply for the purpose of examining plans, where those plans are submitted on or before 24 January 2019’. </w:t>
      </w:r>
      <w:r w:rsidR="00EB102E">
        <w:t>T</w:t>
      </w:r>
      <w:r w:rsidR="008A0420">
        <w:t xml:space="preserve">he </w:t>
      </w:r>
      <w:r w:rsidR="009A6996">
        <w:t>DP</w:t>
      </w:r>
      <w:r w:rsidR="008A0420">
        <w:t>NP was submitted</w:t>
      </w:r>
      <w:r w:rsidR="00EB102E">
        <w:t xml:space="preserve"> to Camden Council</w:t>
      </w:r>
      <w:r w:rsidR="008A0420">
        <w:t xml:space="preserve"> </w:t>
      </w:r>
      <w:r w:rsidR="00BE47BD">
        <w:t>on 23 January 2019</w:t>
      </w:r>
      <w:r w:rsidR="00EB102E">
        <w:t xml:space="preserve"> and therefore it is the policies of the 2012 NPPF that are applied to this examination and </w:t>
      </w:r>
      <w:r w:rsidR="009A6996">
        <w:t>the</w:t>
      </w:r>
      <w:r w:rsidR="00EB102E">
        <w:t xml:space="preserve"> references in this Report are to the 2012 NPPF</w:t>
      </w:r>
      <w:r w:rsidR="009F2A60">
        <w:t>.</w:t>
      </w:r>
      <w:r w:rsidR="00EB102E" w:rsidRPr="00EB102E">
        <w:t xml:space="preserve"> </w:t>
      </w:r>
    </w:p>
    <w:p w14:paraId="69DA2DE9" w14:textId="72203C0D" w:rsidR="00BC33A4" w:rsidRDefault="00BC33A4" w:rsidP="00846A98"/>
    <w:p w14:paraId="583F1B08" w14:textId="7F61CEDC" w:rsidR="009A6996" w:rsidRDefault="00BC33A4" w:rsidP="00657D63">
      <w:pPr>
        <w:ind w:left="720" w:hanging="720"/>
        <w:jc w:val="left"/>
      </w:pPr>
      <w:r>
        <w:t xml:space="preserve">2.3 </w:t>
      </w:r>
      <w:r w:rsidR="00A14104">
        <w:tab/>
      </w:r>
      <w:r w:rsidR="006A7B87">
        <w:t xml:space="preserve">The </w:t>
      </w:r>
      <w:r w:rsidR="009A6996">
        <w:t>P</w:t>
      </w:r>
      <w:r w:rsidR="004915A9">
        <w:t>PG</w:t>
      </w:r>
      <w:r>
        <w:t xml:space="preserve"> makes it clear that whilst a draft N</w:t>
      </w:r>
      <w:r w:rsidR="00657D63">
        <w:t xml:space="preserve">eighbourhood </w:t>
      </w:r>
      <w:r>
        <w:t>P</w:t>
      </w:r>
      <w:r w:rsidR="00657D63">
        <w:t>lan</w:t>
      </w:r>
      <w:r>
        <w:t xml:space="preserve"> is not tested against the policies in an emerging </w:t>
      </w:r>
      <w:r w:rsidR="00F8204C">
        <w:t>D</w:t>
      </w:r>
      <w:r>
        <w:t xml:space="preserve">evelopment </w:t>
      </w:r>
      <w:r w:rsidR="00F8204C">
        <w:t>P</w:t>
      </w:r>
      <w:r>
        <w:t>lan, the reasoning and evidence informing the plan making process are likely to be relevant to the consideration of the Basic conditions against which a N</w:t>
      </w:r>
      <w:r w:rsidR="00657D63">
        <w:t xml:space="preserve">eighbourhood </w:t>
      </w:r>
      <w:r>
        <w:t>P</w:t>
      </w:r>
      <w:r w:rsidR="00657D63">
        <w:t>lan</w:t>
      </w:r>
      <w:r>
        <w:t xml:space="preserve"> is tested</w:t>
      </w:r>
      <w:r>
        <w:rPr>
          <w:rStyle w:val="FootnoteReference"/>
        </w:rPr>
        <w:footnoteReference w:id="2"/>
      </w:r>
      <w:r>
        <w:t>. Paragraph 184 of the NPPF also states that the ‘ambition of the neighbourhood should be aligned with the strategic needs and priorities of the wider area’. Therefore</w:t>
      </w:r>
      <w:r w:rsidR="00657D63">
        <w:t>,</w:t>
      </w:r>
      <w:r>
        <w:t xml:space="preserve"> it would be appropriate for due cognisance to be given to changes that are being proposed to the planning policy framework for the area (as referred to in paragraph 2.1 above).</w:t>
      </w:r>
    </w:p>
    <w:p w14:paraId="0FC449BF" w14:textId="0299C57C" w:rsidR="0069750F" w:rsidRDefault="0069750F" w:rsidP="00A14104">
      <w:pPr>
        <w:ind w:left="0" w:firstLine="0"/>
      </w:pPr>
    </w:p>
    <w:p w14:paraId="4955C3E0" w14:textId="77777777" w:rsidR="009641FD" w:rsidRPr="000813EF" w:rsidRDefault="009641FD" w:rsidP="009F685C">
      <w:pPr>
        <w:rPr>
          <w:i/>
        </w:rPr>
      </w:pPr>
      <w:r w:rsidRPr="000813EF">
        <w:rPr>
          <w:i/>
        </w:rPr>
        <w:t>Submitted Documents</w:t>
      </w:r>
    </w:p>
    <w:p w14:paraId="7A484D9A" w14:textId="77777777" w:rsidR="009641FD" w:rsidRDefault="009641FD" w:rsidP="009F685C"/>
    <w:p w14:paraId="42D5F5FF" w14:textId="0C7BB47A" w:rsidR="00333B68" w:rsidRPr="0064086C" w:rsidRDefault="00917828" w:rsidP="00A14104">
      <w:pPr>
        <w:ind w:left="720" w:hanging="720"/>
      </w:pPr>
      <w:r>
        <w:t>2.</w:t>
      </w:r>
      <w:r w:rsidR="00BC33A4">
        <w:t>4</w:t>
      </w:r>
      <w:r>
        <w:t xml:space="preserve"> </w:t>
      </w:r>
      <w:r w:rsidR="00A14104">
        <w:tab/>
      </w:r>
      <w:r w:rsidR="00333B68" w:rsidRPr="0064086C">
        <w:t xml:space="preserve">I have considered </w:t>
      </w:r>
      <w:r w:rsidR="0064086C" w:rsidRPr="0064086C">
        <w:t xml:space="preserve">all </w:t>
      </w:r>
      <w:r w:rsidR="009641FD">
        <w:t xml:space="preserve">policy, guidance and other </w:t>
      </w:r>
      <w:r w:rsidR="000813EF">
        <w:t xml:space="preserve">reference </w:t>
      </w:r>
      <w:r w:rsidR="0064086C" w:rsidRPr="0064086C">
        <w:t>documents I consider relevant to the examination</w:t>
      </w:r>
      <w:r w:rsidR="009641FD">
        <w:t>, including th</w:t>
      </w:r>
      <w:r w:rsidR="000813EF">
        <w:t xml:space="preserve">ose </w:t>
      </w:r>
      <w:r w:rsidR="009641FD">
        <w:t xml:space="preserve">submitted </w:t>
      </w:r>
      <w:r w:rsidR="000813EF">
        <w:t>which comprise</w:t>
      </w:r>
      <w:r w:rsidR="0064086C" w:rsidRPr="0064086C">
        <w:t xml:space="preserve">: </w:t>
      </w:r>
    </w:p>
    <w:p w14:paraId="254B0497" w14:textId="6649C043" w:rsidR="0064086C" w:rsidRPr="0064086C" w:rsidRDefault="00F5450A" w:rsidP="00DA0078">
      <w:pPr>
        <w:pStyle w:val="ListParagraph"/>
        <w:numPr>
          <w:ilvl w:val="0"/>
          <w:numId w:val="10"/>
        </w:numPr>
      </w:pPr>
      <w:r>
        <w:t>the</w:t>
      </w:r>
      <w:r w:rsidR="0064086C" w:rsidRPr="0064086C">
        <w:t xml:space="preserve"> draft </w:t>
      </w:r>
      <w:r w:rsidR="008A0420">
        <w:t xml:space="preserve">Dartmouth Park </w:t>
      </w:r>
      <w:r>
        <w:t>N</w:t>
      </w:r>
      <w:r w:rsidR="0064086C" w:rsidRPr="0064086C">
        <w:t xml:space="preserve">eighbourhood </w:t>
      </w:r>
      <w:r>
        <w:t>P</w:t>
      </w:r>
      <w:r w:rsidR="0064086C" w:rsidRPr="0064086C">
        <w:t>lan</w:t>
      </w:r>
      <w:r>
        <w:t xml:space="preserve"> 20</w:t>
      </w:r>
      <w:r w:rsidR="008A0420">
        <w:t>19</w:t>
      </w:r>
      <w:r>
        <w:t>-20</w:t>
      </w:r>
      <w:r w:rsidR="008A0420">
        <w:t>34</w:t>
      </w:r>
      <w:r>
        <w:t>,</w:t>
      </w:r>
      <w:r w:rsidR="00A108B2">
        <w:t xml:space="preserve"> </w:t>
      </w:r>
      <w:r w:rsidR="008A0420">
        <w:t>(January 2019)</w:t>
      </w:r>
      <w:r w:rsidR="0064086C" w:rsidRPr="0064086C">
        <w:t>;</w:t>
      </w:r>
    </w:p>
    <w:p w14:paraId="49FBDD3C" w14:textId="5F7DB6FE" w:rsidR="00333B68" w:rsidRPr="0064086C" w:rsidRDefault="00994AD9" w:rsidP="00DA0078">
      <w:pPr>
        <w:pStyle w:val="ListParagraph"/>
        <w:numPr>
          <w:ilvl w:val="0"/>
          <w:numId w:val="10"/>
        </w:numPr>
      </w:pPr>
      <w:r>
        <w:lastRenderedPageBreak/>
        <w:t xml:space="preserve">Fig </w:t>
      </w:r>
      <w:r w:rsidR="008A0420">
        <w:t>1A</w:t>
      </w:r>
      <w:r w:rsidR="00B2297D">
        <w:t xml:space="preserve"> </w:t>
      </w:r>
      <w:r w:rsidR="00E718D8">
        <w:t>of the P</w:t>
      </w:r>
      <w:r w:rsidR="00F5450A">
        <w:t>lan</w:t>
      </w:r>
      <w:r w:rsidR="00333B68" w:rsidRPr="0064086C">
        <w:t xml:space="preserve"> which identifies the area to which the proposed </w:t>
      </w:r>
      <w:r w:rsidR="003D562B">
        <w:t>N</w:t>
      </w:r>
      <w:r w:rsidR="00333B68" w:rsidRPr="0064086C">
        <w:t xml:space="preserve">eighbourhood </w:t>
      </w:r>
      <w:r w:rsidR="003D562B">
        <w:t>D</w:t>
      </w:r>
      <w:r w:rsidR="00333B68" w:rsidRPr="0064086C">
        <w:t xml:space="preserve">evelopment </w:t>
      </w:r>
      <w:r w:rsidR="003D562B">
        <w:t>P</w:t>
      </w:r>
      <w:r w:rsidR="00333B68" w:rsidRPr="0064086C">
        <w:t>lan relates;</w:t>
      </w:r>
    </w:p>
    <w:p w14:paraId="5E633278" w14:textId="7552C239" w:rsidR="00333B68" w:rsidRPr="0064086C" w:rsidRDefault="0064086C" w:rsidP="00DA0078">
      <w:pPr>
        <w:pStyle w:val="ListParagraph"/>
        <w:numPr>
          <w:ilvl w:val="0"/>
          <w:numId w:val="10"/>
        </w:numPr>
      </w:pPr>
      <w:r w:rsidRPr="0064086C">
        <w:t xml:space="preserve">the </w:t>
      </w:r>
      <w:r w:rsidR="00F5450A">
        <w:t>C</w:t>
      </w:r>
      <w:r w:rsidR="00333B68" w:rsidRPr="0064086C">
        <w:t xml:space="preserve">onsultation </w:t>
      </w:r>
      <w:r w:rsidR="00F5450A">
        <w:t>S</w:t>
      </w:r>
      <w:r w:rsidR="00333B68" w:rsidRPr="0064086C">
        <w:t>tatement</w:t>
      </w:r>
      <w:r w:rsidR="008A0420">
        <w:t xml:space="preserve"> (January 2019)</w:t>
      </w:r>
      <w:r w:rsidR="00333B68" w:rsidRPr="0064086C">
        <w:t>;</w:t>
      </w:r>
    </w:p>
    <w:p w14:paraId="1E94001C" w14:textId="460D193F" w:rsidR="009F685C" w:rsidRPr="0064086C" w:rsidRDefault="0064086C" w:rsidP="00DA0078">
      <w:pPr>
        <w:pStyle w:val="ListParagraph"/>
        <w:numPr>
          <w:ilvl w:val="0"/>
          <w:numId w:val="10"/>
        </w:numPr>
      </w:pPr>
      <w:r w:rsidRPr="0064086C">
        <w:t xml:space="preserve">the </w:t>
      </w:r>
      <w:r w:rsidR="001945F9" w:rsidRPr="0064086C">
        <w:t>Basic Cond</w:t>
      </w:r>
      <w:r w:rsidR="001945F9">
        <w:t>i</w:t>
      </w:r>
      <w:r w:rsidR="001945F9" w:rsidRPr="0064086C">
        <w:t>tion</w:t>
      </w:r>
      <w:r w:rsidR="001945F9">
        <w:t>s</w:t>
      </w:r>
      <w:r w:rsidR="001945F9" w:rsidRPr="0064086C">
        <w:t xml:space="preserve"> </w:t>
      </w:r>
      <w:r w:rsidR="001945F9">
        <w:t>S</w:t>
      </w:r>
      <w:r w:rsidR="00333B68" w:rsidRPr="0064086C">
        <w:t>tatement</w:t>
      </w:r>
      <w:r w:rsidR="008A0420">
        <w:t xml:space="preserve"> (January 2019)</w:t>
      </w:r>
      <w:r w:rsidRPr="0064086C">
        <w:t xml:space="preserve">; </w:t>
      </w:r>
      <w:r w:rsidR="00333B68" w:rsidRPr="0064086C">
        <w:t xml:space="preserve"> </w:t>
      </w:r>
    </w:p>
    <w:p w14:paraId="2ED4F5D5" w14:textId="72945E14" w:rsidR="0064086C" w:rsidRDefault="0064086C" w:rsidP="009F2A60">
      <w:pPr>
        <w:pStyle w:val="ListParagraph"/>
        <w:numPr>
          <w:ilvl w:val="0"/>
          <w:numId w:val="10"/>
        </w:numPr>
        <w:jc w:val="left"/>
      </w:pPr>
      <w:r w:rsidRPr="0064086C">
        <w:t>all the representations that have been made in accordance with the Regulation 16 consultation</w:t>
      </w:r>
      <w:r w:rsidR="00944F6E">
        <w:t>. For the avoidance of doubt</w:t>
      </w:r>
      <w:r w:rsidR="0034792C">
        <w:t>,</w:t>
      </w:r>
      <w:r w:rsidR="009F2A60" w:rsidRPr="009F2A60">
        <w:t xml:space="preserve"> I have considered the </w:t>
      </w:r>
      <w:r w:rsidR="00944F6E">
        <w:t xml:space="preserve">e-mail </w:t>
      </w:r>
      <w:r w:rsidR="009F2A60" w:rsidRPr="009F2A60">
        <w:t>representations from Transport for London received on 3rd May 2019</w:t>
      </w:r>
      <w:r w:rsidR="009F2A60">
        <w:t>;</w:t>
      </w:r>
    </w:p>
    <w:p w14:paraId="3AE7C70B" w14:textId="3938BF02" w:rsidR="0064086C" w:rsidRDefault="0064086C" w:rsidP="00DA0078">
      <w:pPr>
        <w:pStyle w:val="ListParagraph"/>
        <w:numPr>
          <w:ilvl w:val="0"/>
          <w:numId w:val="10"/>
        </w:numPr>
      </w:pPr>
      <w:r w:rsidRPr="008A0420">
        <w:t xml:space="preserve">the </w:t>
      </w:r>
      <w:r w:rsidR="001945F9" w:rsidRPr="008A0420">
        <w:t>Strategic Environmental Assessment (</w:t>
      </w:r>
      <w:r w:rsidRPr="008A0420">
        <w:t>SEA</w:t>
      </w:r>
      <w:r w:rsidR="001945F9" w:rsidRPr="008A0420">
        <w:t>)</w:t>
      </w:r>
      <w:r w:rsidR="0083572D" w:rsidRPr="008A0420">
        <w:t xml:space="preserve"> </w:t>
      </w:r>
      <w:r w:rsidRPr="008A0420">
        <w:t xml:space="preserve">Screening </w:t>
      </w:r>
      <w:r w:rsidR="001945F9" w:rsidRPr="008A0420">
        <w:t>O</w:t>
      </w:r>
      <w:r w:rsidRPr="008A0420">
        <w:t>pinion</w:t>
      </w:r>
      <w:r w:rsidR="001945F9" w:rsidRPr="008A0420">
        <w:t xml:space="preserve"> prepared by </w:t>
      </w:r>
      <w:r w:rsidR="008A0420">
        <w:t>the London Borough of Camden</w:t>
      </w:r>
      <w:r w:rsidR="001945F9" w:rsidRPr="008A0420">
        <w:t xml:space="preserve"> </w:t>
      </w:r>
      <w:r w:rsidR="008A0420">
        <w:t>in March 2018</w:t>
      </w:r>
      <w:r w:rsidR="00657D63">
        <w:t xml:space="preserve">; and </w:t>
      </w:r>
    </w:p>
    <w:p w14:paraId="51048B4A" w14:textId="3B3B62BC" w:rsidR="00657D63" w:rsidRDefault="009B7BA6" w:rsidP="009B7BA6">
      <w:pPr>
        <w:pStyle w:val="ListParagraph"/>
        <w:numPr>
          <w:ilvl w:val="0"/>
          <w:numId w:val="10"/>
        </w:numPr>
      </w:pPr>
      <w:r w:rsidRPr="009B7BA6">
        <w:t>the requests for additional cl</w:t>
      </w:r>
      <w:r>
        <w:t>arification sought in my letter of 21 May 2019 and the response</w:t>
      </w:r>
      <w:r w:rsidRPr="009B7BA6">
        <w:t xml:space="preserve"> of 1</w:t>
      </w:r>
      <w:r>
        <w:t>1</w:t>
      </w:r>
      <w:r w:rsidRPr="009B7BA6">
        <w:t xml:space="preserve"> </w:t>
      </w:r>
      <w:r>
        <w:t>June</w:t>
      </w:r>
      <w:r w:rsidRPr="009B7BA6">
        <w:t xml:space="preserve"> 2019</w:t>
      </w:r>
      <w:r w:rsidR="003D562B">
        <w:t>,</w:t>
      </w:r>
      <w:r w:rsidRPr="009B7BA6">
        <w:t xml:space="preserve"> which are available on the </w:t>
      </w:r>
      <w:r>
        <w:t>Camden Council</w:t>
      </w:r>
      <w:r w:rsidRPr="009B7BA6">
        <w:t xml:space="preserve"> website</w:t>
      </w:r>
      <w:r>
        <w:rPr>
          <w:rStyle w:val="FootnoteReference"/>
        </w:rPr>
        <w:footnoteReference w:id="3"/>
      </w:r>
      <w:r w:rsidR="003D562B">
        <w:t>.</w:t>
      </w:r>
    </w:p>
    <w:p w14:paraId="1CD56C24" w14:textId="77777777" w:rsidR="00AD5038" w:rsidRDefault="00AD5038" w:rsidP="00917828">
      <w:pPr>
        <w:spacing w:line="259" w:lineRule="auto"/>
        <w:jc w:val="left"/>
        <w:rPr>
          <w:i/>
        </w:rPr>
      </w:pPr>
    </w:p>
    <w:p w14:paraId="6BF513A3" w14:textId="125332ED" w:rsidR="00BF3DE2" w:rsidRDefault="00541343" w:rsidP="00917828">
      <w:pPr>
        <w:spacing w:line="259" w:lineRule="auto"/>
        <w:jc w:val="left"/>
        <w:rPr>
          <w:i/>
        </w:rPr>
      </w:pPr>
      <w:r>
        <w:rPr>
          <w:i/>
        </w:rPr>
        <w:t>Site Visit</w:t>
      </w:r>
    </w:p>
    <w:p w14:paraId="49976E8A" w14:textId="77777777" w:rsidR="00917828" w:rsidRDefault="00917828" w:rsidP="00917828">
      <w:pPr>
        <w:spacing w:line="259" w:lineRule="auto"/>
        <w:jc w:val="left"/>
        <w:rPr>
          <w:i/>
        </w:rPr>
      </w:pPr>
    </w:p>
    <w:p w14:paraId="33FF4CED" w14:textId="1577443C" w:rsidR="00BF3DE2" w:rsidRDefault="009641FD" w:rsidP="00A14104">
      <w:pPr>
        <w:spacing w:line="259" w:lineRule="auto"/>
        <w:ind w:left="720" w:hanging="720"/>
        <w:jc w:val="left"/>
      </w:pPr>
      <w:r>
        <w:t>2.</w:t>
      </w:r>
      <w:r w:rsidR="00BC33A4">
        <w:t>5</w:t>
      </w:r>
      <w:r w:rsidR="00BF3DE2">
        <w:t xml:space="preserve"> </w:t>
      </w:r>
      <w:r w:rsidR="00A14104">
        <w:tab/>
      </w:r>
      <w:r w:rsidR="00BF3DE2">
        <w:t>I made an unaccompanied site visit to the Neighbourhood Plan Area on</w:t>
      </w:r>
      <w:r w:rsidR="00BC33A4">
        <w:t xml:space="preserve"> 25 May 2019</w:t>
      </w:r>
      <w:r w:rsidR="00B2297D">
        <w:t xml:space="preserve"> </w:t>
      </w:r>
      <w:r w:rsidR="00BF3DE2">
        <w:t xml:space="preserve">to familiarise myself with </w:t>
      </w:r>
      <w:r w:rsidR="00BC33A4">
        <w:t>the locality</w:t>
      </w:r>
      <w:r w:rsidR="001945F9">
        <w:t>,</w:t>
      </w:r>
      <w:r w:rsidR="00BF3DE2">
        <w:t xml:space="preserve"> and visit relevant sites an</w:t>
      </w:r>
      <w:r w:rsidR="001945F9">
        <w:t xml:space="preserve">d areas referenced in the </w:t>
      </w:r>
      <w:r w:rsidR="00E718D8">
        <w:t>P</w:t>
      </w:r>
      <w:r w:rsidR="001945F9">
        <w:t>lan and evidential documents.</w:t>
      </w:r>
      <w:r w:rsidR="00BF3DE2">
        <w:t xml:space="preserve"> </w:t>
      </w:r>
    </w:p>
    <w:p w14:paraId="6A3E7371" w14:textId="77777777" w:rsidR="00917828" w:rsidRDefault="00917828" w:rsidP="00917828">
      <w:pPr>
        <w:spacing w:line="259" w:lineRule="auto"/>
        <w:jc w:val="left"/>
        <w:rPr>
          <w:i/>
        </w:rPr>
      </w:pPr>
    </w:p>
    <w:p w14:paraId="6436EB8C" w14:textId="71A89642" w:rsidR="00BF3DE2" w:rsidRDefault="00BF3DE2" w:rsidP="0083641B">
      <w:pPr>
        <w:spacing w:line="259" w:lineRule="auto"/>
        <w:jc w:val="left"/>
        <w:rPr>
          <w:i/>
        </w:rPr>
      </w:pPr>
      <w:r w:rsidRPr="00955554">
        <w:rPr>
          <w:i/>
        </w:rPr>
        <w:t xml:space="preserve">Written Representations </w:t>
      </w:r>
      <w:r w:rsidR="0087061E">
        <w:rPr>
          <w:i/>
        </w:rPr>
        <w:t xml:space="preserve">with or without </w:t>
      </w:r>
      <w:r w:rsidRPr="00955554">
        <w:rPr>
          <w:i/>
        </w:rPr>
        <w:t>Public Hearing</w:t>
      </w:r>
    </w:p>
    <w:p w14:paraId="04C8B49F" w14:textId="77777777" w:rsidR="00917828" w:rsidRPr="00955554" w:rsidRDefault="00917828" w:rsidP="0083641B">
      <w:pPr>
        <w:spacing w:line="259" w:lineRule="auto"/>
        <w:jc w:val="left"/>
        <w:rPr>
          <w:i/>
        </w:rPr>
      </w:pPr>
    </w:p>
    <w:p w14:paraId="48CABC7C" w14:textId="059D9FA4" w:rsidR="00D4654B" w:rsidRPr="00D64B87" w:rsidRDefault="009641FD" w:rsidP="00E718D8">
      <w:pPr>
        <w:spacing w:line="259" w:lineRule="auto"/>
        <w:jc w:val="left"/>
      </w:pPr>
      <w:r>
        <w:t>2.</w:t>
      </w:r>
      <w:r w:rsidR="00BC33A4">
        <w:t>6</w:t>
      </w:r>
      <w:r w:rsidR="00BF3DE2">
        <w:t xml:space="preserve"> </w:t>
      </w:r>
      <w:r w:rsidR="00A14104">
        <w:tab/>
      </w:r>
      <w:r w:rsidR="00BF3DE2">
        <w:t xml:space="preserve">This examination has been dealt with by </w:t>
      </w:r>
      <w:r w:rsidR="001945F9" w:rsidRPr="00D64B87">
        <w:t xml:space="preserve">written representations.  </w:t>
      </w:r>
    </w:p>
    <w:p w14:paraId="3AFBE382" w14:textId="417997D0" w:rsidR="00D4654B" w:rsidRPr="00D64B87" w:rsidRDefault="001945F9" w:rsidP="00A14104">
      <w:pPr>
        <w:spacing w:line="259" w:lineRule="auto"/>
        <w:ind w:left="720" w:firstLine="0"/>
        <w:jc w:val="left"/>
      </w:pPr>
      <w:r w:rsidRPr="00D64B87">
        <w:t>I considered hearing sessions to be unnecessary as the consultation responses clearly articulate</w:t>
      </w:r>
      <w:r w:rsidR="00541343" w:rsidRPr="00D64B87">
        <w:t>d</w:t>
      </w:r>
      <w:r w:rsidRPr="00D64B87">
        <w:t xml:space="preserve"> the objections</w:t>
      </w:r>
      <w:r w:rsidR="003D4F0B" w:rsidRPr="00D64B87">
        <w:t xml:space="preserve"> to the </w:t>
      </w:r>
      <w:r w:rsidR="009F4AC7">
        <w:t>P</w:t>
      </w:r>
      <w:r w:rsidR="003D4F0B" w:rsidRPr="00D64B87">
        <w:t>lan</w:t>
      </w:r>
      <w:r w:rsidRPr="00D64B87">
        <w:t xml:space="preserve"> and </w:t>
      </w:r>
      <w:r w:rsidR="003D4F0B" w:rsidRPr="00D64B87">
        <w:t>present</w:t>
      </w:r>
      <w:r w:rsidR="00541343" w:rsidRPr="00D64B87">
        <w:t>ed</w:t>
      </w:r>
      <w:r w:rsidR="003D4F0B" w:rsidRPr="00D64B87">
        <w:t xml:space="preserve"> </w:t>
      </w:r>
      <w:r w:rsidRPr="00D64B87">
        <w:t xml:space="preserve">arguments </w:t>
      </w:r>
      <w:r w:rsidR="003D4F0B" w:rsidRPr="00D64B87">
        <w:t>for and against</w:t>
      </w:r>
      <w:r w:rsidRPr="00D64B87">
        <w:t xml:space="preserve"> the </w:t>
      </w:r>
      <w:r w:rsidR="009F4AC7">
        <w:t>P</w:t>
      </w:r>
      <w:r w:rsidRPr="00D64B87">
        <w:t>lan</w:t>
      </w:r>
      <w:r w:rsidR="003D4F0B" w:rsidRPr="00D64B87">
        <w:t>’s suitability to proceed to a referendum</w:t>
      </w:r>
      <w:r w:rsidRPr="00D64B87">
        <w:t>.</w:t>
      </w:r>
      <w:r w:rsidR="00BF3DE2" w:rsidRPr="00D64B87">
        <w:t xml:space="preserve"> </w:t>
      </w:r>
    </w:p>
    <w:p w14:paraId="41A04519" w14:textId="77777777" w:rsidR="00DA0078" w:rsidRPr="00363D31" w:rsidRDefault="00DA0078" w:rsidP="00E718D8">
      <w:pPr>
        <w:spacing w:line="259" w:lineRule="auto"/>
        <w:ind w:firstLine="0"/>
        <w:jc w:val="left"/>
        <w:rPr>
          <w:i/>
          <w:color w:val="1F4E79" w:themeColor="accent1" w:themeShade="80"/>
        </w:rPr>
      </w:pPr>
    </w:p>
    <w:p w14:paraId="10C58F4F" w14:textId="04F92D7D" w:rsidR="00BF3DE2" w:rsidRDefault="00BF3DE2" w:rsidP="00E718D8">
      <w:pPr>
        <w:spacing w:line="259" w:lineRule="auto"/>
        <w:jc w:val="left"/>
        <w:rPr>
          <w:i/>
        </w:rPr>
      </w:pPr>
      <w:r w:rsidRPr="002B0246">
        <w:rPr>
          <w:i/>
        </w:rPr>
        <w:t>Modifications</w:t>
      </w:r>
    </w:p>
    <w:p w14:paraId="6652C87C" w14:textId="77777777" w:rsidR="0083641B" w:rsidRPr="002B0246" w:rsidRDefault="0083641B" w:rsidP="00E718D8">
      <w:pPr>
        <w:spacing w:line="259" w:lineRule="auto"/>
        <w:jc w:val="left"/>
        <w:rPr>
          <w:i/>
        </w:rPr>
      </w:pPr>
    </w:p>
    <w:p w14:paraId="0617765C" w14:textId="2CDFC572" w:rsidR="00BF3DE2" w:rsidRDefault="009641FD" w:rsidP="00A14104">
      <w:pPr>
        <w:spacing w:line="259" w:lineRule="auto"/>
        <w:ind w:left="720" w:hanging="720"/>
        <w:jc w:val="left"/>
      </w:pPr>
      <w:r>
        <w:t>2.</w:t>
      </w:r>
      <w:r w:rsidR="00BC33A4">
        <w:t>7</w:t>
      </w:r>
      <w:r w:rsidR="00BF3DE2">
        <w:t xml:space="preserve"> </w:t>
      </w:r>
      <w:r w:rsidR="00A14104">
        <w:tab/>
      </w:r>
      <w:r w:rsidR="00BF3DE2">
        <w:t xml:space="preserve">Where necessary, </w:t>
      </w:r>
      <w:r w:rsidR="00A42C8A" w:rsidRPr="00A42C8A">
        <w:t xml:space="preserve">I have recommended modifications to the </w:t>
      </w:r>
      <w:r w:rsidR="00E718D8">
        <w:t>P</w:t>
      </w:r>
      <w:r w:rsidR="00A42C8A" w:rsidRPr="00A42C8A">
        <w:t>lan (</w:t>
      </w:r>
      <w:r w:rsidR="00A42C8A" w:rsidRPr="00A42C8A">
        <w:rPr>
          <w:b/>
        </w:rPr>
        <w:t>PMs</w:t>
      </w:r>
      <w:r w:rsidR="00A42C8A" w:rsidRPr="00A42C8A">
        <w:t>) in this report in order that it meets the Basic Conditions and other legal requirements.  For ease of reference, I have listed these modifications separately in the Appendix.</w:t>
      </w:r>
    </w:p>
    <w:p w14:paraId="1E0FB679" w14:textId="563FEDE0" w:rsidR="00553604" w:rsidRDefault="00C37BA0" w:rsidP="0083641B">
      <w:pPr>
        <w:spacing w:line="259" w:lineRule="auto"/>
        <w:jc w:val="left"/>
      </w:pPr>
      <w:r>
        <w:tab/>
      </w:r>
    </w:p>
    <w:p w14:paraId="697B4567" w14:textId="3DF2C2AB" w:rsidR="0087061E" w:rsidRDefault="0087061E" w:rsidP="009F2A60">
      <w:pPr>
        <w:spacing w:line="259" w:lineRule="auto"/>
        <w:ind w:left="0" w:firstLine="0"/>
        <w:jc w:val="left"/>
        <w:rPr>
          <w:b/>
        </w:rPr>
      </w:pPr>
    </w:p>
    <w:p w14:paraId="4D2464CA" w14:textId="7755024F" w:rsidR="00846A98" w:rsidRPr="009C23F2" w:rsidRDefault="00846A98" w:rsidP="00C9510C">
      <w:pPr>
        <w:spacing w:line="259" w:lineRule="auto"/>
        <w:jc w:val="left"/>
        <w:rPr>
          <w:b/>
        </w:rPr>
      </w:pPr>
      <w:r w:rsidRPr="009C23F2">
        <w:rPr>
          <w:b/>
        </w:rPr>
        <w:t>3. Procedural Compliance</w:t>
      </w:r>
      <w:r w:rsidR="00204241">
        <w:rPr>
          <w:b/>
        </w:rPr>
        <w:t xml:space="preserve"> and Human Rights</w:t>
      </w:r>
    </w:p>
    <w:p w14:paraId="083B6A29" w14:textId="77777777" w:rsidR="00C9510C" w:rsidRPr="009C23F2" w:rsidRDefault="00C9510C" w:rsidP="009C23F2">
      <w:pPr>
        <w:ind w:left="0" w:firstLine="0"/>
        <w:jc w:val="left"/>
        <w:rPr>
          <w:i/>
          <w:color w:val="808080" w:themeColor="background1" w:themeShade="80"/>
        </w:rPr>
      </w:pPr>
      <w:r w:rsidRPr="00C9510C">
        <w:rPr>
          <w:i/>
          <w:color w:val="808080" w:themeColor="background1" w:themeShade="80"/>
        </w:rPr>
        <w:t xml:space="preserve"> </w:t>
      </w:r>
    </w:p>
    <w:p w14:paraId="6A645306" w14:textId="53539C8C" w:rsidR="00A73AD5" w:rsidRDefault="00374830" w:rsidP="0083641B">
      <w:pPr>
        <w:spacing w:line="259" w:lineRule="auto"/>
        <w:jc w:val="left"/>
        <w:rPr>
          <w:i/>
        </w:rPr>
      </w:pPr>
      <w:r w:rsidRPr="008B397B">
        <w:rPr>
          <w:i/>
        </w:rPr>
        <w:t>Qualifying Body and Neighbourhood Plan Area</w:t>
      </w:r>
    </w:p>
    <w:p w14:paraId="49A97F33" w14:textId="77777777" w:rsidR="0083641B" w:rsidRPr="008B397B" w:rsidRDefault="0083641B" w:rsidP="0083641B">
      <w:pPr>
        <w:spacing w:line="259" w:lineRule="auto"/>
        <w:jc w:val="left"/>
        <w:rPr>
          <w:i/>
        </w:rPr>
      </w:pPr>
    </w:p>
    <w:p w14:paraId="25D20CDC" w14:textId="3BC69AF2" w:rsidR="00374830" w:rsidRDefault="00A73AD5" w:rsidP="00A14104">
      <w:pPr>
        <w:spacing w:line="259" w:lineRule="auto"/>
        <w:ind w:left="720" w:hanging="720"/>
        <w:jc w:val="left"/>
      </w:pPr>
      <w:r>
        <w:t xml:space="preserve">3.1 </w:t>
      </w:r>
      <w:r w:rsidR="00A14104">
        <w:tab/>
      </w:r>
      <w:r w:rsidR="003D562B" w:rsidRPr="003D562B">
        <w:t xml:space="preserve">The </w:t>
      </w:r>
      <w:r w:rsidR="003D562B">
        <w:t>DPNF</w:t>
      </w:r>
      <w:r w:rsidR="003D562B" w:rsidRPr="003D562B">
        <w:t xml:space="preserve"> was </w:t>
      </w:r>
      <w:r w:rsidR="003D562B">
        <w:t>originally</w:t>
      </w:r>
      <w:r w:rsidR="0069750F">
        <w:t xml:space="preserve"> designated </w:t>
      </w:r>
      <w:r w:rsidR="003D562B" w:rsidRPr="003D562B">
        <w:t>as a neighbourhood forum</w:t>
      </w:r>
      <w:r w:rsidR="003D562B">
        <w:t xml:space="preserve"> </w:t>
      </w:r>
      <w:r w:rsidR="00BE47BD">
        <w:t>on 7 October 2013. A</w:t>
      </w:r>
      <w:r w:rsidR="003D562B">
        <w:t xml:space="preserve">s a consequence of the expiry of the statutory 5 year period, </w:t>
      </w:r>
      <w:r w:rsidR="0069750F">
        <w:t xml:space="preserve">a renewed </w:t>
      </w:r>
      <w:r w:rsidR="003D562B">
        <w:t xml:space="preserve">application </w:t>
      </w:r>
      <w:r w:rsidR="0069750F">
        <w:t xml:space="preserve">was made to </w:t>
      </w:r>
      <w:r w:rsidR="00BE47BD">
        <w:t>Camden Council</w:t>
      </w:r>
      <w:r w:rsidR="0069750F">
        <w:t xml:space="preserve"> and </w:t>
      </w:r>
      <w:r w:rsidR="003F70C4">
        <w:t>the DPNF</w:t>
      </w:r>
      <w:r w:rsidR="00BE47BD">
        <w:t xml:space="preserve"> </w:t>
      </w:r>
      <w:r w:rsidR="003D562B">
        <w:t>was re</w:t>
      </w:r>
      <w:r w:rsidR="005263BF">
        <w:t>-</w:t>
      </w:r>
      <w:r w:rsidR="003D562B">
        <w:t xml:space="preserve">designated on </w:t>
      </w:r>
      <w:r w:rsidR="003D562B" w:rsidRPr="003D562B">
        <w:t xml:space="preserve">17 December 2018. </w:t>
      </w:r>
      <w:r w:rsidR="003D562B">
        <w:t>Accordingly, t</w:t>
      </w:r>
      <w:r w:rsidR="00C53C30" w:rsidRPr="00A04A57">
        <w:t xml:space="preserve">he </w:t>
      </w:r>
      <w:r w:rsidR="009A6996">
        <w:t>D</w:t>
      </w:r>
      <w:r w:rsidR="00356764">
        <w:t>PNP</w:t>
      </w:r>
      <w:r w:rsidR="00C9510C" w:rsidRPr="00A04A57">
        <w:t xml:space="preserve"> has been </w:t>
      </w:r>
      <w:r w:rsidR="00C9510C" w:rsidRPr="00A04A57">
        <w:lastRenderedPageBreak/>
        <w:t xml:space="preserve">prepared and submitted for examination by </w:t>
      </w:r>
      <w:r w:rsidR="009A6996">
        <w:t xml:space="preserve">the </w:t>
      </w:r>
      <w:r w:rsidR="00356764">
        <w:t>DPNF</w:t>
      </w:r>
      <w:r w:rsidR="003F70C4">
        <w:t>,</w:t>
      </w:r>
      <w:r w:rsidR="0083572D">
        <w:t xml:space="preserve"> </w:t>
      </w:r>
      <w:r w:rsidR="00C53C30" w:rsidRPr="00A04A57">
        <w:t xml:space="preserve">which is </w:t>
      </w:r>
      <w:r w:rsidR="00C9510C" w:rsidRPr="00A04A57">
        <w:t>a qualifying body</w:t>
      </w:r>
      <w:r w:rsidR="00C323A7">
        <w:t>.</w:t>
      </w:r>
      <w:r w:rsidR="00C53C30" w:rsidRPr="00A04A57">
        <w:t xml:space="preserve">  </w:t>
      </w:r>
    </w:p>
    <w:p w14:paraId="3F94225F" w14:textId="77777777" w:rsidR="0083641B" w:rsidRDefault="0083641B" w:rsidP="0083641B">
      <w:pPr>
        <w:spacing w:line="259" w:lineRule="auto"/>
        <w:jc w:val="left"/>
      </w:pPr>
    </w:p>
    <w:p w14:paraId="14418BF5" w14:textId="2438FC17" w:rsidR="000577D8" w:rsidRDefault="00374830" w:rsidP="00A14104">
      <w:pPr>
        <w:spacing w:line="259" w:lineRule="auto"/>
        <w:ind w:left="720" w:hanging="720"/>
        <w:jc w:val="left"/>
      </w:pPr>
      <w:r>
        <w:t xml:space="preserve">3.2 </w:t>
      </w:r>
      <w:r w:rsidR="00A14104">
        <w:tab/>
      </w:r>
      <w:r w:rsidRPr="00A04A57">
        <w:t xml:space="preserve">It is the only </w:t>
      </w:r>
      <w:r w:rsidR="00BE47BD">
        <w:t>N</w:t>
      </w:r>
      <w:r w:rsidRPr="00A04A57">
        <w:t xml:space="preserve">eighbourhood </w:t>
      </w:r>
      <w:r w:rsidR="00BE47BD">
        <w:t>P</w:t>
      </w:r>
      <w:r w:rsidRPr="00A04A57">
        <w:t xml:space="preserve">lan for </w:t>
      </w:r>
      <w:r w:rsidR="00D64B87">
        <w:t>Dartmouth Park</w:t>
      </w:r>
      <w:r w:rsidRPr="00A04A57">
        <w:t xml:space="preserve"> and does not relate to land outside the designated </w:t>
      </w:r>
      <w:r w:rsidR="00BC33A4">
        <w:t>N</w:t>
      </w:r>
      <w:r w:rsidRPr="00A04A57">
        <w:t xml:space="preserve">eighbourhood </w:t>
      </w:r>
      <w:r w:rsidR="00BC33A4">
        <w:t>Plan A</w:t>
      </w:r>
      <w:r w:rsidRPr="00A04A57">
        <w:t>rea</w:t>
      </w:r>
      <w:r w:rsidR="009A6996">
        <w:t>, as shown on Fig</w:t>
      </w:r>
      <w:r w:rsidR="007E07B1">
        <w:t>.</w:t>
      </w:r>
      <w:r w:rsidR="009A6996">
        <w:t xml:space="preserve"> 1A of the </w:t>
      </w:r>
      <w:r w:rsidR="00BE47BD">
        <w:t>P</w:t>
      </w:r>
      <w:r w:rsidR="009A6996">
        <w:t>lan</w:t>
      </w:r>
      <w:r w:rsidRPr="00A04A57">
        <w:t>.</w:t>
      </w:r>
    </w:p>
    <w:p w14:paraId="44258641" w14:textId="6032D39A" w:rsidR="003B3A0A" w:rsidRDefault="003B3A0A" w:rsidP="00A10365">
      <w:pPr>
        <w:spacing w:line="259" w:lineRule="auto"/>
        <w:ind w:left="0" w:firstLine="0"/>
        <w:jc w:val="left"/>
        <w:rPr>
          <w:i/>
        </w:rPr>
      </w:pPr>
    </w:p>
    <w:p w14:paraId="7DD38395" w14:textId="1D26534A" w:rsidR="00735E60" w:rsidRDefault="00735E60" w:rsidP="0083641B">
      <w:pPr>
        <w:spacing w:line="259" w:lineRule="auto"/>
        <w:jc w:val="left"/>
        <w:rPr>
          <w:i/>
        </w:rPr>
      </w:pPr>
      <w:r w:rsidRPr="008B397B">
        <w:rPr>
          <w:i/>
        </w:rPr>
        <w:t xml:space="preserve">Plan Period </w:t>
      </w:r>
    </w:p>
    <w:p w14:paraId="1D9E0EE3" w14:textId="77777777" w:rsidR="0083641B" w:rsidRPr="008B397B" w:rsidRDefault="0083641B" w:rsidP="0083641B">
      <w:pPr>
        <w:spacing w:line="259" w:lineRule="auto"/>
        <w:jc w:val="left"/>
        <w:rPr>
          <w:i/>
        </w:rPr>
      </w:pPr>
    </w:p>
    <w:p w14:paraId="366BDD19" w14:textId="0B7EBA04" w:rsidR="000D7758" w:rsidRDefault="00735E60" w:rsidP="00A14104">
      <w:pPr>
        <w:ind w:left="720" w:hanging="720"/>
        <w:jc w:val="left"/>
      </w:pPr>
      <w:r>
        <w:t xml:space="preserve">3.3 </w:t>
      </w:r>
      <w:r w:rsidR="00A14104">
        <w:tab/>
      </w:r>
      <w:r>
        <w:t xml:space="preserve">The </w:t>
      </w:r>
      <w:r w:rsidR="00E718D8">
        <w:t>P</w:t>
      </w:r>
      <w:r>
        <w:t>lan specifies clearly the period to which it is to take effect, which is from 20</w:t>
      </w:r>
      <w:r w:rsidR="00D64B87">
        <w:t>19</w:t>
      </w:r>
      <w:r w:rsidR="0083572D">
        <w:t xml:space="preserve"> </w:t>
      </w:r>
      <w:r>
        <w:t>to 20</w:t>
      </w:r>
      <w:r w:rsidR="00D64B87">
        <w:t>34</w:t>
      </w:r>
      <w:r>
        <w:t xml:space="preserve">. </w:t>
      </w:r>
    </w:p>
    <w:p w14:paraId="630DC632" w14:textId="77777777" w:rsidR="00AE0094" w:rsidRPr="00AE0094" w:rsidRDefault="00AE0094" w:rsidP="00AD5038">
      <w:pPr>
        <w:ind w:left="426" w:hanging="426"/>
        <w:jc w:val="left"/>
      </w:pPr>
    </w:p>
    <w:p w14:paraId="22795C42" w14:textId="79EA1082" w:rsidR="00374830" w:rsidRDefault="00374830" w:rsidP="00AD5038">
      <w:pPr>
        <w:spacing w:line="259" w:lineRule="auto"/>
        <w:jc w:val="left"/>
        <w:rPr>
          <w:i/>
        </w:rPr>
      </w:pPr>
      <w:r w:rsidRPr="008B397B">
        <w:rPr>
          <w:i/>
        </w:rPr>
        <w:t xml:space="preserve">Neighbourhood Plan </w:t>
      </w:r>
      <w:r w:rsidR="00735E60" w:rsidRPr="008B397B">
        <w:rPr>
          <w:i/>
        </w:rPr>
        <w:t>Pr</w:t>
      </w:r>
      <w:r w:rsidRPr="008B397B">
        <w:rPr>
          <w:i/>
        </w:rPr>
        <w:t xml:space="preserve">eparation and </w:t>
      </w:r>
      <w:r w:rsidR="00735E60" w:rsidRPr="008B397B">
        <w:rPr>
          <w:i/>
        </w:rPr>
        <w:t>C</w:t>
      </w:r>
      <w:r w:rsidRPr="008B397B">
        <w:rPr>
          <w:i/>
        </w:rPr>
        <w:t>onsultation</w:t>
      </w:r>
    </w:p>
    <w:p w14:paraId="2388509A" w14:textId="77777777" w:rsidR="00AD5038" w:rsidRPr="008B397B" w:rsidRDefault="00AD5038" w:rsidP="00AD5038">
      <w:pPr>
        <w:spacing w:line="259" w:lineRule="auto"/>
        <w:jc w:val="left"/>
        <w:rPr>
          <w:i/>
        </w:rPr>
      </w:pPr>
    </w:p>
    <w:p w14:paraId="5051117E" w14:textId="1E170DAA" w:rsidR="00250ACC" w:rsidRDefault="00735E60" w:rsidP="00A14104">
      <w:pPr>
        <w:tabs>
          <w:tab w:val="left" w:pos="567"/>
        </w:tabs>
        <w:autoSpaceDE w:val="0"/>
        <w:autoSpaceDN w:val="0"/>
        <w:adjustRightInd w:val="0"/>
        <w:ind w:left="720" w:hanging="720"/>
        <w:jc w:val="left"/>
      </w:pPr>
      <w:r>
        <w:t xml:space="preserve">3.4 </w:t>
      </w:r>
      <w:r w:rsidR="00A14104">
        <w:tab/>
      </w:r>
      <w:r w:rsidR="00A14104">
        <w:tab/>
      </w:r>
      <w:r w:rsidR="00356764">
        <w:t xml:space="preserve">The Consultation Statement (January 2019) summarises the consultation that has taken place on the DPNP from ‘testing the water’ in 2012 to the submission </w:t>
      </w:r>
      <w:r w:rsidR="00BE47BD">
        <w:t xml:space="preserve">to Camden Council </w:t>
      </w:r>
      <w:r w:rsidR="00356764">
        <w:t xml:space="preserve">in </w:t>
      </w:r>
      <w:r w:rsidR="003F70C4">
        <w:t xml:space="preserve">January </w:t>
      </w:r>
      <w:r w:rsidR="00356764">
        <w:t>2019. As well as local residents</w:t>
      </w:r>
      <w:r w:rsidR="00250ACC">
        <w:t>,</w:t>
      </w:r>
      <w:r w:rsidR="00356764">
        <w:t xml:space="preserve"> the consultation database includes, for example, local businesses, schools, sports organisations, social organisations and other community </w:t>
      </w:r>
      <w:r w:rsidR="00250ACC">
        <w:t>groups.</w:t>
      </w:r>
      <w:r w:rsidR="00356764">
        <w:t xml:space="preserve"> Public meetings have been held, community walkabouts have been arranged, stalls have been </w:t>
      </w:r>
      <w:r w:rsidR="00250ACC">
        <w:t xml:space="preserve">set up at a number of community events, and consultants organised an extensive community engagement exercise. The process has been appropriately thorough, and I consider that the opportunity has been available for all interested parties to contribute to the content of the DPNP, including </w:t>
      </w:r>
      <w:r w:rsidR="003F70C4">
        <w:t xml:space="preserve">formal public consultation </w:t>
      </w:r>
      <w:r w:rsidR="00250ACC">
        <w:t>at both the Regulation 14 stage</w:t>
      </w:r>
      <w:r w:rsidR="00BE47BD">
        <w:t xml:space="preserve"> </w:t>
      </w:r>
      <w:r w:rsidR="003F70C4">
        <w:t>(</w:t>
      </w:r>
      <w:r w:rsidR="00BE47BD">
        <w:t>from 25 April 20</w:t>
      </w:r>
      <w:r w:rsidR="0021623A">
        <w:t>1</w:t>
      </w:r>
      <w:r w:rsidR="00BE47BD">
        <w:t xml:space="preserve">8 - 15 June 2018) </w:t>
      </w:r>
      <w:r w:rsidR="00250ACC">
        <w:t>and the Regulation 16 stage</w:t>
      </w:r>
      <w:r w:rsidR="00BE47BD">
        <w:t xml:space="preserve"> (from </w:t>
      </w:r>
      <w:r w:rsidR="00C063C2">
        <w:t xml:space="preserve">14 March 2019 </w:t>
      </w:r>
      <w:r w:rsidR="00BE47BD">
        <w:t xml:space="preserve">- </w:t>
      </w:r>
      <w:r w:rsidR="003F70C4">
        <w:t>3 May 2019</w:t>
      </w:r>
      <w:r w:rsidR="009937FF">
        <w:t>)</w:t>
      </w:r>
      <w:r w:rsidR="00250ACC">
        <w:t>.</w:t>
      </w:r>
    </w:p>
    <w:p w14:paraId="431F4687" w14:textId="77777777" w:rsidR="00250ACC" w:rsidRDefault="00250ACC" w:rsidP="00AD5038">
      <w:pPr>
        <w:tabs>
          <w:tab w:val="left" w:pos="567"/>
        </w:tabs>
        <w:autoSpaceDE w:val="0"/>
        <w:autoSpaceDN w:val="0"/>
        <w:adjustRightInd w:val="0"/>
        <w:ind w:left="426" w:hanging="426"/>
        <w:jc w:val="left"/>
      </w:pPr>
    </w:p>
    <w:p w14:paraId="4BE7103C" w14:textId="58CD66F1" w:rsidR="00356764" w:rsidRDefault="00250ACC" w:rsidP="00A14104">
      <w:pPr>
        <w:tabs>
          <w:tab w:val="left" w:pos="567"/>
        </w:tabs>
        <w:autoSpaceDE w:val="0"/>
        <w:autoSpaceDN w:val="0"/>
        <w:adjustRightInd w:val="0"/>
        <w:ind w:left="720" w:hanging="720"/>
        <w:jc w:val="left"/>
      </w:pPr>
      <w:r>
        <w:t xml:space="preserve">3.5 </w:t>
      </w:r>
      <w:r w:rsidR="00A14104">
        <w:tab/>
      </w:r>
      <w:r w:rsidR="00A14104">
        <w:tab/>
      </w:r>
      <w:r>
        <w:t>Overall</w:t>
      </w:r>
      <w:r w:rsidR="00A14104">
        <w:t>,</w:t>
      </w:r>
      <w:r>
        <w:t xml:space="preserve"> I am satisfied that all the relevant statutory requirements in the 2012 Regulations have been met. I am also content that</w:t>
      </w:r>
      <w:r w:rsidR="003F70C4" w:rsidRPr="00861C4C">
        <w:t xml:space="preserve"> a transparent, fair and inclusive process has been followed</w:t>
      </w:r>
      <w:r>
        <w:t xml:space="preserve"> in respect</w:t>
      </w:r>
      <w:r w:rsidR="003F70C4">
        <w:t xml:space="preserve"> of </w:t>
      </w:r>
      <w:r>
        <w:t>the approach taken towards the preparation of the DPNP and the involvement of interested parties in consultation</w:t>
      </w:r>
      <w:r w:rsidR="0069750F">
        <w:t>,</w:t>
      </w:r>
      <w:r w:rsidR="009F2A60">
        <w:t xml:space="preserve"> </w:t>
      </w:r>
      <w:r w:rsidR="003F70C4">
        <w:t xml:space="preserve">having due regard to the </w:t>
      </w:r>
      <w:r>
        <w:t>relevant advice on plan preparation and engagement</w:t>
      </w:r>
      <w:r w:rsidR="00305056">
        <w:t xml:space="preserve"> </w:t>
      </w:r>
      <w:r w:rsidR="003F70C4">
        <w:t xml:space="preserve">in the PPG. </w:t>
      </w:r>
      <w:r w:rsidR="00305056">
        <w:t xml:space="preserve">I </w:t>
      </w:r>
      <w:r w:rsidR="003F70C4">
        <w:t xml:space="preserve">further </w:t>
      </w:r>
      <w:r w:rsidR="00305056">
        <w:t xml:space="preserve">note that the Mayor of London has confirmed that the DPNP is in general conformity with the current and </w:t>
      </w:r>
      <w:r w:rsidR="0014410A">
        <w:t>d</w:t>
      </w:r>
      <w:r w:rsidR="00305056">
        <w:t>raft New London Plan</w:t>
      </w:r>
      <w:r w:rsidR="00305056">
        <w:rPr>
          <w:rStyle w:val="FootnoteReference"/>
        </w:rPr>
        <w:footnoteReference w:id="4"/>
      </w:r>
      <w:r w:rsidR="00305056">
        <w:t>.</w:t>
      </w:r>
      <w:r>
        <w:t xml:space="preserve"> </w:t>
      </w:r>
    </w:p>
    <w:p w14:paraId="595021E2" w14:textId="77777777" w:rsidR="00AD5038" w:rsidRPr="00363D31" w:rsidRDefault="00AD5038" w:rsidP="00AD5038">
      <w:pPr>
        <w:tabs>
          <w:tab w:val="left" w:pos="567"/>
        </w:tabs>
        <w:autoSpaceDE w:val="0"/>
        <w:autoSpaceDN w:val="0"/>
        <w:adjustRightInd w:val="0"/>
        <w:ind w:left="426" w:hanging="426"/>
        <w:jc w:val="left"/>
        <w:rPr>
          <w:color w:val="1F4E79" w:themeColor="accent1" w:themeShade="80"/>
        </w:rPr>
      </w:pPr>
    </w:p>
    <w:p w14:paraId="5AB1545C" w14:textId="5817D8C0" w:rsidR="00A73AD5" w:rsidRDefault="00374830" w:rsidP="00AD5038">
      <w:pPr>
        <w:tabs>
          <w:tab w:val="left" w:pos="567"/>
        </w:tabs>
        <w:autoSpaceDE w:val="0"/>
        <w:autoSpaceDN w:val="0"/>
        <w:adjustRightInd w:val="0"/>
        <w:ind w:left="426" w:hanging="426"/>
        <w:jc w:val="left"/>
        <w:rPr>
          <w:i/>
        </w:rPr>
      </w:pPr>
      <w:r w:rsidRPr="0083641B">
        <w:rPr>
          <w:i/>
        </w:rPr>
        <w:t>D</w:t>
      </w:r>
      <w:r w:rsidRPr="00CE61B9">
        <w:rPr>
          <w:i/>
        </w:rPr>
        <w:t xml:space="preserve">evelopment and Use of Land </w:t>
      </w:r>
    </w:p>
    <w:p w14:paraId="4FF63806" w14:textId="77777777" w:rsidR="0083641B" w:rsidRPr="00CE61B9" w:rsidRDefault="0083641B" w:rsidP="00AD5038">
      <w:pPr>
        <w:tabs>
          <w:tab w:val="left" w:pos="567"/>
        </w:tabs>
        <w:autoSpaceDE w:val="0"/>
        <w:autoSpaceDN w:val="0"/>
        <w:adjustRightInd w:val="0"/>
        <w:ind w:left="426" w:hanging="426"/>
        <w:jc w:val="left"/>
        <w:rPr>
          <w:i/>
        </w:rPr>
      </w:pPr>
    </w:p>
    <w:p w14:paraId="791A38DA" w14:textId="2D9E9658" w:rsidR="009F2A60" w:rsidRDefault="00A73AD5" w:rsidP="00D823D1">
      <w:pPr>
        <w:spacing w:line="259" w:lineRule="auto"/>
        <w:ind w:left="720" w:hanging="720"/>
        <w:jc w:val="left"/>
        <w:rPr>
          <w:color w:val="FF0000"/>
        </w:rPr>
      </w:pPr>
      <w:r>
        <w:t>3.</w:t>
      </w:r>
      <w:r w:rsidR="00C621A7">
        <w:t>6</w:t>
      </w:r>
      <w:r w:rsidR="000D7758">
        <w:t xml:space="preserve"> </w:t>
      </w:r>
      <w:r w:rsidR="00A14104">
        <w:tab/>
      </w:r>
      <w:r w:rsidR="000171B6">
        <w:t>Subject to paragraph</w:t>
      </w:r>
      <w:r w:rsidR="00403B99">
        <w:t>s</w:t>
      </w:r>
      <w:r w:rsidR="000171B6">
        <w:t xml:space="preserve"> </w:t>
      </w:r>
      <w:r w:rsidR="00403B99">
        <w:t xml:space="preserve">4.27 and 4.49 </w:t>
      </w:r>
      <w:r w:rsidR="000171B6">
        <w:t xml:space="preserve">below and the </w:t>
      </w:r>
      <w:r w:rsidR="00403B99">
        <w:t xml:space="preserve">associated </w:t>
      </w:r>
      <w:r w:rsidR="000171B6">
        <w:t>modification</w:t>
      </w:r>
      <w:r w:rsidR="00403B99">
        <w:t>s</w:t>
      </w:r>
      <w:r w:rsidR="000171B6">
        <w:t xml:space="preserve"> recommended in PM11</w:t>
      </w:r>
      <w:r w:rsidR="00403B99">
        <w:t xml:space="preserve"> and PM20</w:t>
      </w:r>
      <w:r w:rsidR="000171B6" w:rsidRPr="000171B6">
        <w:t>, t</w:t>
      </w:r>
      <w:r w:rsidR="00E718D8" w:rsidRPr="000171B6">
        <w:t>he P</w:t>
      </w:r>
      <w:r w:rsidR="00A04A57" w:rsidRPr="000171B6">
        <w:t>lan</w:t>
      </w:r>
      <w:r w:rsidR="00C9510C" w:rsidRPr="000171B6">
        <w:t xml:space="preserve"> sets out policies in relation to the development and use of land </w:t>
      </w:r>
      <w:r w:rsidR="00C53C30" w:rsidRPr="000171B6">
        <w:t xml:space="preserve">in accordance with </w:t>
      </w:r>
      <w:r w:rsidR="00A04A57" w:rsidRPr="000171B6">
        <w:t>s</w:t>
      </w:r>
      <w:r w:rsidR="00971A14" w:rsidRPr="000171B6">
        <w:t>.</w:t>
      </w:r>
      <w:r w:rsidR="00A04A57" w:rsidRPr="000171B6">
        <w:t xml:space="preserve">38A of the </w:t>
      </w:r>
      <w:r w:rsidR="00060C6F" w:rsidRPr="000171B6">
        <w:t>2004 Act</w:t>
      </w:r>
      <w:r w:rsidR="00A04A57" w:rsidRPr="000171B6">
        <w:rPr>
          <w:color w:val="1F4E79" w:themeColor="accent1" w:themeShade="80"/>
        </w:rPr>
        <w:t>.</w:t>
      </w:r>
      <w:r w:rsidR="00A04A57" w:rsidRPr="00363D31">
        <w:rPr>
          <w:color w:val="1F4E79" w:themeColor="accent1" w:themeShade="80"/>
        </w:rPr>
        <w:t xml:space="preserve">  </w:t>
      </w:r>
    </w:p>
    <w:p w14:paraId="37FA6BDC" w14:textId="03675426" w:rsidR="00D823D1" w:rsidRDefault="00D823D1" w:rsidP="00D823D1">
      <w:pPr>
        <w:spacing w:line="259" w:lineRule="auto"/>
        <w:ind w:left="720" w:hanging="720"/>
        <w:jc w:val="left"/>
        <w:rPr>
          <w:color w:val="FF0000"/>
        </w:rPr>
      </w:pPr>
    </w:p>
    <w:p w14:paraId="2E13EEB7" w14:textId="2337C1F8" w:rsidR="00D823D1" w:rsidRDefault="00D823D1" w:rsidP="00D823D1">
      <w:pPr>
        <w:spacing w:line="259" w:lineRule="auto"/>
        <w:ind w:left="720" w:hanging="720"/>
        <w:jc w:val="left"/>
        <w:rPr>
          <w:color w:val="FF0000"/>
        </w:rPr>
      </w:pPr>
    </w:p>
    <w:p w14:paraId="2D191698" w14:textId="33B7A71C" w:rsidR="00D823D1" w:rsidRDefault="00D823D1" w:rsidP="00D823D1">
      <w:pPr>
        <w:spacing w:line="259" w:lineRule="auto"/>
        <w:ind w:left="720" w:hanging="720"/>
        <w:jc w:val="left"/>
        <w:rPr>
          <w:color w:val="FF0000"/>
        </w:rPr>
      </w:pPr>
    </w:p>
    <w:p w14:paraId="2792AEC5" w14:textId="77777777" w:rsidR="00D823D1" w:rsidRPr="00D823D1" w:rsidRDefault="00D823D1" w:rsidP="00D823D1">
      <w:pPr>
        <w:spacing w:line="259" w:lineRule="auto"/>
        <w:ind w:left="720" w:hanging="720"/>
        <w:jc w:val="left"/>
        <w:rPr>
          <w:color w:val="FF0000"/>
        </w:rPr>
      </w:pPr>
    </w:p>
    <w:p w14:paraId="36938BBA" w14:textId="581C4C6B" w:rsidR="00DC7B2F" w:rsidRDefault="00DC7B2F" w:rsidP="0083641B">
      <w:pPr>
        <w:spacing w:line="259" w:lineRule="auto"/>
        <w:jc w:val="left"/>
        <w:rPr>
          <w:i/>
        </w:rPr>
      </w:pPr>
      <w:r w:rsidRPr="000D7758">
        <w:rPr>
          <w:i/>
        </w:rPr>
        <w:lastRenderedPageBreak/>
        <w:t>Excluded Development</w:t>
      </w:r>
    </w:p>
    <w:p w14:paraId="50AC7ABD" w14:textId="77777777" w:rsidR="0083641B" w:rsidRPr="000D7758" w:rsidRDefault="0083641B" w:rsidP="0083641B">
      <w:pPr>
        <w:spacing w:line="259" w:lineRule="auto"/>
        <w:jc w:val="left"/>
        <w:rPr>
          <w:i/>
        </w:rPr>
      </w:pPr>
    </w:p>
    <w:p w14:paraId="55641E69" w14:textId="33BDA9C6" w:rsidR="00A73AD5" w:rsidRPr="00D4654B" w:rsidRDefault="00DC7B2F" w:rsidP="00A14104">
      <w:pPr>
        <w:spacing w:line="259" w:lineRule="auto"/>
        <w:ind w:left="720" w:hanging="720"/>
        <w:jc w:val="left"/>
        <w:rPr>
          <w:color w:val="FF0000"/>
        </w:rPr>
      </w:pPr>
      <w:r>
        <w:t>3.</w:t>
      </w:r>
      <w:r w:rsidR="00C621A7">
        <w:t>7</w:t>
      </w:r>
      <w:r>
        <w:t xml:space="preserve"> </w:t>
      </w:r>
      <w:r w:rsidR="00A14104">
        <w:tab/>
      </w:r>
      <w:r w:rsidR="0083572D">
        <w:t xml:space="preserve">The </w:t>
      </w:r>
      <w:r w:rsidR="00E718D8">
        <w:t>P</w:t>
      </w:r>
      <w:r w:rsidR="0083572D" w:rsidRPr="0083572D">
        <w:t>lan</w:t>
      </w:r>
      <w:r w:rsidR="0083572D">
        <w:t xml:space="preserve"> </w:t>
      </w:r>
      <w:r w:rsidR="00E81236">
        <w:t xml:space="preserve">does not include </w:t>
      </w:r>
      <w:r w:rsidR="00C9510C" w:rsidRPr="00A04A57">
        <w:t>provisions and policies fo</w:t>
      </w:r>
      <w:r w:rsidR="00A04A57" w:rsidRPr="00A04A57">
        <w:t xml:space="preserve">r ‘excluded development’.  </w:t>
      </w:r>
      <w:r w:rsidR="0083641B">
        <w:t xml:space="preserve"> </w:t>
      </w:r>
    </w:p>
    <w:p w14:paraId="6876E916" w14:textId="77777777" w:rsidR="006A7B87" w:rsidRDefault="006A7B87" w:rsidP="006A7B87">
      <w:pPr>
        <w:spacing w:line="259" w:lineRule="auto"/>
        <w:ind w:left="0" w:firstLine="0"/>
        <w:jc w:val="left"/>
        <w:rPr>
          <w:i/>
        </w:rPr>
      </w:pPr>
    </w:p>
    <w:p w14:paraId="7CEF72B0" w14:textId="4539D30B" w:rsidR="00A73AD5" w:rsidRDefault="00FA0583" w:rsidP="006A7B87">
      <w:pPr>
        <w:spacing w:line="259" w:lineRule="auto"/>
        <w:ind w:left="0" w:firstLine="0"/>
        <w:jc w:val="left"/>
        <w:rPr>
          <w:i/>
        </w:rPr>
      </w:pPr>
      <w:r w:rsidRPr="00FA0583">
        <w:rPr>
          <w:i/>
        </w:rPr>
        <w:t>Human Rights</w:t>
      </w:r>
    </w:p>
    <w:p w14:paraId="3FBCA45D" w14:textId="77777777" w:rsidR="0083641B" w:rsidRPr="00A73AD5" w:rsidRDefault="0083641B" w:rsidP="0083641B">
      <w:pPr>
        <w:spacing w:line="259" w:lineRule="auto"/>
        <w:jc w:val="left"/>
        <w:rPr>
          <w:i/>
        </w:rPr>
      </w:pPr>
    </w:p>
    <w:p w14:paraId="090FD442" w14:textId="0DDE939B" w:rsidR="000D7758" w:rsidRDefault="00A108B2" w:rsidP="00A14104">
      <w:pPr>
        <w:spacing w:line="259" w:lineRule="auto"/>
        <w:ind w:left="720" w:hanging="720"/>
        <w:jc w:val="left"/>
      </w:pPr>
      <w:r>
        <w:t>3.</w:t>
      </w:r>
      <w:r w:rsidR="00C621A7">
        <w:t>8</w:t>
      </w:r>
      <w:r>
        <w:t xml:space="preserve"> </w:t>
      </w:r>
      <w:r w:rsidR="00A14104">
        <w:tab/>
      </w:r>
      <w:r w:rsidR="009F2A60" w:rsidRPr="009F2A60">
        <w:t>Camden Council has not concluded that the DPNP breaches Human Rights (within the meaning of the Human Rights Act 1998) and I note that the Council undertoo</w:t>
      </w:r>
      <w:r w:rsidR="009F2A60">
        <w:t>k an Equality Impact Assessment</w:t>
      </w:r>
      <w:r w:rsidR="009F2A60">
        <w:rPr>
          <w:rStyle w:val="FootnoteReference"/>
        </w:rPr>
        <w:footnoteReference w:id="5"/>
      </w:r>
      <w:r w:rsidR="009F2A60" w:rsidRPr="009F2A60">
        <w:t xml:space="preserve"> relating to the </w:t>
      </w:r>
      <w:r w:rsidR="004268C5">
        <w:t>P</w:t>
      </w:r>
      <w:r w:rsidR="009F2A60" w:rsidRPr="009F2A60">
        <w:t>lan's effects on individuals and groups with protected characteristics. I see no reason to disagree with the Council.</w:t>
      </w:r>
    </w:p>
    <w:p w14:paraId="6C654F43" w14:textId="4F16A01C" w:rsidR="00917828" w:rsidRDefault="00917828" w:rsidP="00917828">
      <w:pPr>
        <w:spacing w:line="259" w:lineRule="auto"/>
        <w:jc w:val="left"/>
      </w:pPr>
    </w:p>
    <w:p w14:paraId="0E6F275E" w14:textId="6951D2A4" w:rsidR="00A14104" w:rsidRDefault="00A14104" w:rsidP="00347743">
      <w:pPr>
        <w:spacing w:line="259" w:lineRule="auto"/>
        <w:ind w:left="0" w:firstLine="0"/>
        <w:jc w:val="left"/>
      </w:pPr>
    </w:p>
    <w:p w14:paraId="3F4EA771" w14:textId="77777777" w:rsidR="001365AC" w:rsidRDefault="00846A98" w:rsidP="00917828">
      <w:pPr>
        <w:spacing w:line="259" w:lineRule="auto"/>
        <w:jc w:val="left"/>
        <w:rPr>
          <w:b/>
        </w:rPr>
      </w:pPr>
      <w:r w:rsidRPr="00846A98">
        <w:rPr>
          <w:b/>
        </w:rPr>
        <w:t>4</w:t>
      </w:r>
      <w:r w:rsidR="00152550" w:rsidRPr="00846A98">
        <w:rPr>
          <w:b/>
        </w:rPr>
        <w:t xml:space="preserve">. </w:t>
      </w:r>
      <w:r w:rsidR="00514D35" w:rsidRPr="00846A98">
        <w:rPr>
          <w:b/>
        </w:rPr>
        <w:t xml:space="preserve">Compliance with the Basic Conditions </w:t>
      </w:r>
    </w:p>
    <w:p w14:paraId="01B6032B" w14:textId="77777777" w:rsidR="00917828" w:rsidRDefault="00917828" w:rsidP="00917828">
      <w:pPr>
        <w:spacing w:line="259" w:lineRule="auto"/>
        <w:jc w:val="left"/>
        <w:rPr>
          <w:i/>
        </w:rPr>
      </w:pPr>
    </w:p>
    <w:p w14:paraId="477A6E1F" w14:textId="21A944CF" w:rsidR="001365AC" w:rsidRDefault="001365AC" w:rsidP="00917828">
      <w:pPr>
        <w:spacing w:line="259" w:lineRule="auto"/>
        <w:jc w:val="left"/>
        <w:rPr>
          <w:i/>
        </w:rPr>
      </w:pPr>
      <w:r w:rsidRPr="000D7758">
        <w:rPr>
          <w:i/>
        </w:rPr>
        <w:t>EU Obligations</w:t>
      </w:r>
    </w:p>
    <w:p w14:paraId="75C180E8" w14:textId="77777777" w:rsidR="00917828" w:rsidRPr="000D7758" w:rsidRDefault="00917828" w:rsidP="00917828">
      <w:pPr>
        <w:spacing w:line="259" w:lineRule="auto"/>
        <w:jc w:val="left"/>
        <w:rPr>
          <w:i/>
        </w:rPr>
      </w:pPr>
    </w:p>
    <w:p w14:paraId="7B47ED24" w14:textId="392BCB02" w:rsidR="000B3144" w:rsidRPr="00D64B87" w:rsidRDefault="00BE6BDD" w:rsidP="00A14104">
      <w:pPr>
        <w:spacing w:line="259" w:lineRule="auto"/>
        <w:ind w:left="720" w:hanging="720"/>
        <w:jc w:val="left"/>
      </w:pPr>
      <w:r>
        <w:t xml:space="preserve">4.1 </w:t>
      </w:r>
      <w:r w:rsidR="00A14104">
        <w:tab/>
      </w:r>
      <w:r w:rsidR="001365AC" w:rsidRPr="00D64B87">
        <w:t xml:space="preserve">The </w:t>
      </w:r>
      <w:r w:rsidR="00305B1C">
        <w:t>N</w:t>
      </w:r>
      <w:r w:rsidR="001365AC" w:rsidRPr="00D64B87">
        <w:t xml:space="preserve">eighbourhood </w:t>
      </w:r>
      <w:r w:rsidR="00305B1C">
        <w:t>P</w:t>
      </w:r>
      <w:r w:rsidR="001365AC" w:rsidRPr="00D64B87">
        <w:t xml:space="preserve">lan was screened for SEA by </w:t>
      </w:r>
      <w:r w:rsidR="00D64B87">
        <w:t>Camden</w:t>
      </w:r>
      <w:r w:rsidR="001365AC" w:rsidRPr="00D64B87">
        <w:t xml:space="preserve"> Council</w:t>
      </w:r>
      <w:r w:rsidR="009A6996">
        <w:t xml:space="preserve"> </w:t>
      </w:r>
      <w:r w:rsidR="001365AC" w:rsidRPr="00D64B87">
        <w:t>which found that it was unnecessary</w:t>
      </w:r>
      <w:r w:rsidR="003F4AD4" w:rsidRPr="00D64B87">
        <w:t xml:space="preserve"> </w:t>
      </w:r>
      <w:r w:rsidR="001365AC" w:rsidRPr="00D64B87">
        <w:t xml:space="preserve">to undertake SEA. </w:t>
      </w:r>
      <w:r w:rsidR="00BD1981" w:rsidRPr="00D64B87">
        <w:t xml:space="preserve">Having read the Strategic Environmental Assessment Screening Opinion </w:t>
      </w:r>
      <w:r w:rsidR="009A6996">
        <w:t>(March 2018)</w:t>
      </w:r>
      <w:r w:rsidR="007E07B1">
        <w:t>,</w:t>
      </w:r>
      <w:r w:rsidR="009A6996" w:rsidRPr="00D64B87">
        <w:t xml:space="preserve"> </w:t>
      </w:r>
      <w:r w:rsidR="00BD1981" w:rsidRPr="00D64B87">
        <w:t>I support this conclusion</w:t>
      </w:r>
      <w:r w:rsidR="00D64B87">
        <w:t>.</w:t>
      </w:r>
      <w:r w:rsidR="003F4AD4" w:rsidRPr="00D64B87">
        <w:t xml:space="preserve"> </w:t>
      </w:r>
    </w:p>
    <w:p w14:paraId="3C40A77C" w14:textId="77777777" w:rsidR="00E718D8" w:rsidRPr="00D4654B" w:rsidRDefault="00E718D8" w:rsidP="00E718D8">
      <w:pPr>
        <w:spacing w:line="259" w:lineRule="auto"/>
        <w:ind w:firstLine="0"/>
        <w:jc w:val="left"/>
        <w:rPr>
          <w:color w:val="FF0000"/>
        </w:rPr>
      </w:pPr>
    </w:p>
    <w:p w14:paraId="15639199" w14:textId="0A66960C" w:rsidR="00D4654B" w:rsidRPr="00D4654B" w:rsidRDefault="00BE6BDD" w:rsidP="00A14104">
      <w:pPr>
        <w:spacing w:line="259" w:lineRule="auto"/>
        <w:ind w:left="720" w:hanging="720"/>
        <w:jc w:val="left"/>
        <w:rPr>
          <w:color w:val="FF0000"/>
        </w:rPr>
      </w:pPr>
      <w:r>
        <w:t xml:space="preserve">4.2 </w:t>
      </w:r>
      <w:r w:rsidR="00A14104">
        <w:tab/>
      </w:r>
      <w:r w:rsidR="00735E60" w:rsidRPr="00E81236">
        <w:t xml:space="preserve">The </w:t>
      </w:r>
      <w:r w:rsidR="00305B1C">
        <w:t xml:space="preserve">Neighbourhood Plan Area </w:t>
      </w:r>
      <w:r w:rsidR="001E4F13" w:rsidRPr="00E81236">
        <w:t>is not in close proximity to a</w:t>
      </w:r>
      <w:r w:rsidR="00735E60" w:rsidRPr="00E81236">
        <w:t xml:space="preserve"> European designated nature site</w:t>
      </w:r>
      <w:r w:rsidR="00BD1981" w:rsidRPr="00E81236">
        <w:t xml:space="preserve">.  Natural England </w:t>
      </w:r>
      <w:r w:rsidR="00E81236">
        <w:t>confirmed the DPNP ‘will not have significant effects on sensitive sites that Natural England has a statutory duty to protect’</w:t>
      </w:r>
      <w:r w:rsidR="00E81236">
        <w:rPr>
          <w:rStyle w:val="FootnoteReference"/>
        </w:rPr>
        <w:footnoteReference w:id="6"/>
      </w:r>
      <w:r w:rsidR="00305B1C">
        <w:t xml:space="preserve"> and that therefore Habitats Regulation Assessment was not required</w:t>
      </w:r>
      <w:r w:rsidR="00E81236">
        <w:t xml:space="preserve">. </w:t>
      </w:r>
      <w:r w:rsidR="00060C6F" w:rsidRPr="00E81236">
        <w:t xml:space="preserve">From my independent assessment of this matter, I have </w:t>
      </w:r>
      <w:r w:rsidR="00735E60" w:rsidRPr="00E81236">
        <w:t>no reason to disagree</w:t>
      </w:r>
      <w:r w:rsidR="00060C6F" w:rsidRPr="00E81236">
        <w:t>.</w:t>
      </w:r>
      <w:r w:rsidR="0043181A" w:rsidRPr="00E81236">
        <w:t xml:space="preserve"> </w:t>
      </w:r>
    </w:p>
    <w:p w14:paraId="6EBD3178" w14:textId="77777777" w:rsidR="00AD5038" w:rsidRPr="00D4654B" w:rsidRDefault="00AD5038" w:rsidP="00E718D8">
      <w:pPr>
        <w:spacing w:line="259" w:lineRule="auto"/>
        <w:ind w:firstLine="0"/>
        <w:jc w:val="left"/>
        <w:rPr>
          <w:color w:val="FF0000"/>
        </w:rPr>
      </w:pPr>
    </w:p>
    <w:p w14:paraId="1D137F71" w14:textId="0EB89458" w:rsidR="001365AC" w:rsidRPr="00305B1C" w:rsidRDefault="001365AC" w:rsidP="00E718D8">
      <w:pPr>
        <w:spacing w:line="259" w:lineRule="auto"/>
        <w:ind w:left="0" w:firstLine="0"/>
        <w:jc w:val="left"/>
        <w:rPr>
          <w:i/>
          <w:iCs/>
        </w:rPr>
      </w:pPr>
      <w:r w:rsidRPr="00305B1C">
        <w:rPr>
          <w:i/>
          <w:iCs/>
        </w:rPr>
        <w:t>Main Issues</w:t>
      </w:r>
    </w:p>
    <w:p w14:paraId="5A1FA45F" w14:textId="77777777" w:rsidR="00AD5038" w:rsidRPr="00917828" w:rsidRDefault="00AD5038" w:rsidP="00E718D8">
      <w:pPr>
        <w:spacing w:line="259" w:lineRule="auto"/>
        <w:ind w:left="0" w:firstLine="0"/>
        <w:jc w:val="left"/>
      </w:pPr>
    </w:p>
    <w:p w14:paraId="2CA1E948" w14:textId="56ACDAF1" w:rsidR="00B968C1" w:rsidRPr="00B968C1" w:rsidRDefault="001E4F13" w:rsidP="00A14104">
      <w:pPr>
        <w:spacing w:line="259" w:lineRule="auto"/>
        <w:ind w:left="714" w:hanging="705"/>
        <w:jc w:val="left"/>
        <w:rPr>
          <w:szCs w:val="22"/>
        </w:rPr>
      </w:pPr>
      <w:r>
        <w:t>4.3</w:t>
      </w:r>
      <w:r w:rsidR="00AD42A3">
        <w:t xml:space="preserve"> </w:t>
      </w:r>
      <w:r w:rsidR="00A14104">
        <w:tab/>
      </w:r>
      <w:r w:rsidR="00A14104">
        <w:tab/>
      </w:r>
      <w:r w:rsidR="00B968C1" w:rsidRPr="00B968C1">
        <w:rPr>
          <w:szCs w:val="22"/>
        </w:rPr>
        <w:t xml:space="preserve">I have approached the assessment of </w:t>
      </w:r>
      <w:r w:rsidR="00B968C1">
        <w:rPr>
          <w:szCs w:val="22"/>
        </w:rPr>
        <w:t>whether or not the DPNP complies with the Basic Conditions under two main headings:</w:t>
      </w:r>
    </w:p>
    <w:p w14:paraId="5A7F42A1" w14:textId="281B75FF" w:rsidR="00B968C1" w:rsidRPr="00B968C1" w:rsidRDefault="00B968C1" w:rsidP="00A14104">
      <w:pPr>
        <w:pStyle w:val="ListParagraph"/>
        <w:numPr>
          <w:ilvl w:val="0"/>
          <w:numId w:val="6"/>
        </w:numPr>
        <w:spacing w:after="160" w:line="259" w:lineRule="auto"/>
        <w:ind w:left="851" w:firstLine="0"/>
        <w:jc w:val="left"/>
        <w:rPr>
          <w:szCs w:val="22"/>
        </w:rPr>
      </w:pPr>
      <w:r w:rsidRPr="00B968C1">
        <w:rPr>
          <w:szCs w:val="22"/>
        </w:rPr>
        <w:t xml:space="preserve">General </w:t>
      </w:r>
      <w:r w:rsidR="00305B1C">
        <w:rPr>
          <w:szCs w:val="22"/>
        </w:rPr>
        <w:t>I</w:t>
      </w:r>
      <w:r w:rsidRPr="00B968C1">
        <w:rPr>
          <w:szCs w:val="22"/>
        </w:rPr>
        <w:t xml:space="preserve">ssues of </w:t>
      </w:r>
      <w:r w:rsidR="00305B1C">
        <w:rPr>
          <w:szCs w:val="22"/>
        </w:rPr>
        <w:t>C</w:t>
      </w:r>
      <w:r w:rsidRPr="00B968C1">
        <w:rPr>
          <w:szCs w:val="22"/>
        </w:rPr>
        <w:t>ompliance of the Plan, as a whole; and</w:t>
      </w:r>
    </w:p>
    <w:p w14:paraId="5F2BF24D" w14:textId="638FDE84" w:rsidR="00B968C1" w:rsidRPr="00B968C1" w:rsidRDefault="00B968C1" w:rsidP="00A14104">
      <w:pPr>
        <w:pStyle w:val="ListParagraph"/>
        <w:numPr>
          <w:ilvl w:val="0"/>
          <w:numId w:val="6"/>
        </w:numPr>
        <w:spacing w:line="259" w:lineRule="auto"/>
        <w:ind w:left="851" w:firstLine="0"/>
        <w:jc w:val="left"/>
        <w:rPr>
          <w:szCs w:val="22"/>
        </w:rPr>
      </w:pPr>
      <w:r w:rsidRPr="00B968C1">
        <w:rPr>
          <w:szCs w:val="22"/>
        </w:rPr>
        <w:t xml:space="preserve">Specific </w:t>
      </w:r>
      <w:r w:rsidR="00305B1C">
        <w:rPr>
          <w:szCs w:val="22"/>
        </w:rPr>
        <w:t>I</w:t>
      </w:r>
      <w:r w:rsidRPr="00B968C1">
        <w:rPr>
          <w:szCs w:val="22"/>
        </w:rPr>
        <w:t xml:space="preserve">ssues of </w:t>
      </w:r>
      <w:r w:rsidR="00305B1C">
        <w:rPr>
          <w:szCs w:val="22"/>
        </w:rPr>
        <w:t>C</w:t>
      </w:r>
      <w:r w:rsidRPr="00B968C1">
        <w:rPr>
          <w:szCs w:val="22"/>
        </w:rPr>
        <w:t xml:space="preserve">ompliance of the Plan </w:t>
      </w:r>
      <w:r w:rsidR="00305B1C">
        <w:rPr>
          <w:szCs w:val="22"/>
        </w:rPr>
        <w:t>P</w:t>
      </w:r>
      <w:r w:rsidRPr="00B968C1">
        <w:rPr>
          <w:szCs w:val="22"/>
        </w:rPr>
        <w:t>olicies.</w:t>
      </w:r>
    </w:p>
    <w:p w14:paraId="55113343" w14:textId="77777777" w:rsidR="00E718D8" w:rsidRPr="00D4654B" w:rsidRDefault="00E718D8" w:rsidP="00E718D8">
      <w:pPr>
        <w:pStyle w:val="ListParagraph"/>
        <w:spacing w:line="259" w:lineRule="auto"/>
        <w:ind w:left="780" w:firstLine="0"/>
        <w:jc w:val="left"/>
        <w:rPr>
          <w:color w:val="FF0000"/>
        </w:rPr>
      </w:pPr>
    </w:p>
    <w:p w14:paraId="5265AF3C" w14:textId="1601B689" w:rsidR="009F2A60" w:rsidRDefault="00B968C1" w:rsidP="0034792C">
      <w:pPr>
        <w:spacing w:line="259" w:lineRule="auto"/>
        <w:ind w:left="720" w:hanging="720"/>
        <w:jc w:val="left"/>
      </w:pPr>
      <w:r w:rsidRPr="00B968C1">
        <w:t>4.4</w:t>
      </w:r>
      <w:r>
        <w:t xml:space="preserve"> </w:t>
      </w:r>
      <w:r w:rsidR="00A14104">
        <w:tab/>
      </w:r>
      <w:r>
        <w:t xml:space="preserve">In particular I have considered whether or not the DPNP complies with the </w:t>
      </w:r>
      <w:r w:rsidR="000171B6">
        <w:t>B</w:t>
      </w:r>
      <w:r>
        <w:t xml:space="preserve">asic </w:t>
      </w:r>
      <w:r w:rsidR="000171B6">
        <w:t>C</w:t>
      </w:r>
      <w:r>
        <w:t xml:space="preserve">onditions, particularly in terms of its relationship to national policy and guidance, the achievement of sustainable development and general conformity with the adopted </w:t>
      </w:r>
      <w:r w:rsidR="000171B6">
        <w:t xml:space="preserve">strategic </w:t>
      </w:r>
      <w:r>
        <w:t>Development Plan policies.</w:t>
      </w:r>
    </w:p>
    <w:p w14:paraId="5AC468AE" w14:textId="61D151C8" w:rsidR="0034792C" w:rsidRDefault="0034792C" w:rsidP="0034792C">
      <w:pPr>
        <w:spacing w:line="259" w:lineRule="auto"/>
        <w:ind w:left="720" w:hanging="720"/>
        <w:jc w:val="left"/>
      </w:pPr>
    </w:p>
    <w:p w14:paraId="363B4950" w14:textId="637CB3A2" w:rsidR="0034792C" w:rsidRDefault="0034792C" w:rsidP="0034792C">
      <w:pPr>
        <w:spacing w:line="259" w:lineRule="auto"/>
        <w:ind w:left="720" w:hanging="720"/>
        <w:jc w:val="left"/>
      </w:pPr>
    </w:p>
    <w:p w14:paraId="258FE2C3" w14:textId="404C10C9" w:rsidR="0034792C" w:rsidRDefault="0034792C" w:rsidP="0034792C">
      <w:pPr>
        <w:spacing w:line="259" w:lineRule="auto"/>
        <w:ind w:left="720" w:hanging="720"/>
        <w:jc w:val="left"/>
      </w:pPr>
    </w:p>
    <w:p w14:paraId="590A8F49" w14:textId="6ED809F4" w:rsidR="00AD42A3" w:rsidRPr="00305B1C" w:rsidRDefault="00B968C1" w:rsidP="00E718D8">
      <w:pPr>
        <w:spacing w:line="259" w:lineRule="auto"/>
        <w:ind w:left="426" w:hanging="426"/>
        <w:jc w:val="left"/>
        <w:rPr>
          <w:i/>
          <w:iCs/>
        </w:rPr>
      </w:pPr>
      <w:r w:rsidRPr="00305B1C">
        <w:rPr>
          <w:i/>
          <w:iCs/>
        </w:rPr>
        <w:lastRenderedPageBreak/>
        <w:t>General Issues of Compliance of the DPNP</w:t>
      </w:r>
      <w:r w:rsidR="00305B1C" w:rsidRPr="00305B1C">
        <w:rPr>
          <w:i/>
          <w:iCs/>
        </w:rPr>
        <w:t>, as a whole</w:t>
      </w:r>
    </w:p>
    <w:p w14:paraId="761A14B0" w14:textId="61989261" w:rsidR="00B968C1" w:rsidRDefault="00B968C1" w:rsidP="00E718D8">
      <w:pPr>
        <w:spacing w:line="259" w:lineRule="auto"/>
        <w:ind w:left="426" w:hanging="426"/>
        <w:jc w:val="left"/>
        <w:rPr>
          <w:u w:val="single"/>
        </w:rPr>
      </w:pPr>
    </w:p>
    <w:p w14:paraId="3534898D" w14:textId="08CC4C37" w:rsidR="00B968C1" w:rsidRPr="00305B1C" w:rsidRDefault="00B968C1" w:rsidP="00E718D8">
      <w:pPr>
        <w:spacing w:line="259" w:lineRule="auto"/>
        <w:ind w:left="426" w:hanging="426"/>
        <w:jc w:val="left"/>
        <w:rPr>
          <w:iCs/>
          <w:u w:val="single"/>
        </w:rPr>
      </w:pPr>
      <w:r w:rsidRPr="00305B1C">
        <w:rPr>
          <w:iCs/>
          <w:u w:val="single"/>
        </w:rPr>
        <w:t>National Policy, Sustainable Development and the Development Plan</w:t>
      </w:r>
    </w:p>
    <w:p w14:paraId="20947DCC" w14:textId="7BAACE34" w:rsidR="00B968C1" w:rsidRDefault="00B968C1" w:rsidP="00E718D8">
      <w:pPr>
        <w:spacing w:line="259" w:lineRule="auto"/>
        <w:ind w:left="426" w:hanging="426"/>
        <w:jc w:val="left"/>
        <w:rPr>
          <w:i/>
        </w:rPr>
      </w:pPr>
    </w:p>
    <w:p w14:paraId="562D103B" w14:textId="158E30B3" w:rsidR="00CF4DEA" w:rsidRDefault="00B968C1" w:rsidP="00A14104">
      <w:pPr>
        <w:spacing w:line="259" w:lineRule="auto"/>
        <w:ind w:left="720" w:hanging="720"/>
        <w:jc w:val="left"/>
      </w:pPr>
      <w:r>
        <w:t xml:space="preserve">4.5 </w:t>
      </w:r>
      <w:r w:rsidR="00A14104">
        <w:tab/>
      </w:r>
      <w:r>
        <w:t>The policies</w:t>
      </w:r>
      <w:r w:rsidR="004E5751">
        <w:t xml:space="preserve"> in the DPNP are set out under s</w:t>
      </w:r>
      <w:r w:rsidR="00AA6659">
        <w:t>ix</w:t>
      </w:r>
      <w:r w:rsidR="004E5751">
        <w:t xml:space="preserve"> main headings: Design and Character; Housing; Community; Neighbourhood Centres and Employment; Environment and Sustainability; and Transport and Streets.</w:t>
      </w:r>
      <w:r w:rsidR="0050596B">
        <w:t xml:space="preserve"> The accompanying Basic Conditions Statement</w:t>
      </w:r>
      <w:r w:rsidR="00CF4DEA">
        <w:t xml:space="preserve"> (January 2019) satisfactorily</w:t>
      </w:r>
      <w:r w:rsidR="0050596B">
        <w:t xml:space="preserve"> sets out in some depth how the policies of the DPNP align with national and local policy and advice.</w:t>
      </w:r>
    </w:p>
    <w:p w14:paraId="0947C268" w14:textId="77777777" w:rsidR="00CF4DEA" w:rsidRDefault="00CF4DEA" w:rsidP="00E718D8">
      <w:pPr>
        <w:spacing w:line="259" w:lineRule="auto"/>
        <w:ind w:left="426" w:hanging="426"/>
        <w:jc w:val="left"/>
      </w:pPr>
    </w:p>
    <w:p w14:paraId="7943422F" w14:textId="00DB498C" w:rsidR="00CF4DEA" w:rsidRDefault="00CF4DEA" w:rsidP="00A14104">
      <w:pPr>
        <w:spacing w:line="259" w:lineRule="auto"/>
        <w:ind w:left="720" w:hanging="720"/>
        <w:jc w:val="left"/>
      </w:pPr>
      <w:r>
        <w:t xml:space="preserve">4.6 </w:t>
      </w:r>
      <w:r w:rsidR="00A14104">
        <w:tab/>
      </w:r>
      <w:r>
        <w:t>The Vision and Objectives for the area are appropriately summarised in Chapter 2 of the DPNP and they appear to accurately reflect the aspirations of the local community. Support is given, for example, to providing a mix of housing, creating a strong community and ensuring that the design and appearance of new development is of the highest standard and retains the attractiveness of the neighbourhood’s ‘leafy feel’.</w:t>
      </w:r>
    </w:p>
    <w:p w14:paraId="0498FCFE" w14:textId="77777777" w:rsidR="00CF4DEA" w:rsidRDefault="00CF4DEA" w:rsidP="00E718D8">
      <w:pPr>
        <w:spacing w:line="259" w:lineRule="auto"/>
        <w:ind w:left="426" w:hanging="426"/>
        <w:jc w:val="left"/>
      </w:pPr>
    </w:p>
    <w:p w14:paraId="6D32DF02" w14:textId="32C38BA6" w:rsidR="00B968C1" w:rsidRDefault="00CF4DEA" w:rsidP="00A14104">
      <w:pPr>
        <w:spacing w:line="259" w:lineRule="auto"/>
        <w:ind w:left="720" w:hanging="720"/>
        <w:jc w:val="left"/>
      </w:pPr>
      <w:r>
        <w:t xml:space="preserve">4.7 </w:t>
      </w:r>
      <w:r w:rsidR="00A14104">
        <w:tab/>
      </w:r>
      <w:r>
        <w:t xml:space="preserve">The need to achieve sustainable development is a key objective and I am satisfied that all three dimensions </w:t>
      </w:r>
      <w:r w:rsidR="00521234">
        <w:t>to such development (economic, social and environmental)</w:t>
      </w:r>
      <w:r w:rsidR="00521234">
        <w:rPr>
          <w:rStyle w:val="FootnoteReference"/>
        </w:rPr>
        <w:footnoteReference w:id="7"/>
      </w:r>
      <w:r w:rsidR="00521234">
        <w:t xml:space="preserve"> have been taken into account. Subject to the detailed comments on individual policies, that I set out below, I conclude that the DPNP has had proper regard to national policy and guidance.</w:t>
      </w:r>
      <w:r w:rsidR="0050596B">
        <w:t xml:space="preserve"> </w:t>
      </w:r>
    </w:p>
    <w:p w14:paraId="6EF1AFDE" w14:textId="48F4C079" w:rsidR="00B968C1" w:rsidRDefault="00B968C1" w:rsidP="00E718D8">
      <w:pPr>
        <w:spacing w:line="259" w:lineRule="auto"/>
        <w:ind w:left="426" w:hanging="426"/>
        <w:jc w:val="left"/>
      </w:pPr>
    </w:p>
    <w:p w14:paraId="7088C04A" w14:textId="6BD0A5F5" w:rsidR="00B968C1" w:rsidRDefault="00B968C1" w:rsidP="00A14104">
      <w:pPr>
        <w:spacing w:line="259" w:lineRule="auto"/>
        <w:ind w:left="720" w:hanging="720"/>
        <w:jc w:val="left"/>
      </w:pPr>
      <w:r>
        <w:t>4.</w:t>
      </w:r>
      <w:r w:rsidR="00AE3EE8">
        <w:t>8</w:t>
      </w:r>
      <w:r w:rsidR="00521234">
        <w:t xml:space="preserve"> </w:t>
      </w:r>
      <w:r w:rsidR="00A14104">
        <w:tab/>
      </w:r>
      <w:r w:rsidR="00521234">
        <w:t xml:space="preserve">It is clear that </w:t>
      </w:r>
      <w:r w:rsidR="00AA6659">
        <w:t>Camden</w:t>
      </w:r>
      <w:r w:rsidR="00521234">
        <w:t xml:space="preserve"> Council has had the opportunity to contribute to a number of iterations of the DPNP and subject to a </w:t>
      </w:r>
      <w:r w:rsidR="009A6996">
        <w:t>small number</w:t>
      </w:r>
      <w:r w:rsidR="00521234">
        <w:t xml:space="preserve"> of exceptions (which I deal with below) I conclude that the DPNP is in general conformity with the </w:t>
      </w:r>
      <w:r w:rsidR="000171B6">
        <w:t xml:space="preserve">strategic policies of the </w:t>
      </w:r>
      <w:r w:rsidR="00AA6659">
        <w:t>Camden Local Plan.</w:t>
      </w:r>
      <w:r w:rsidR="00521234">
        <w:t xml:space="preserve"> </w:t>
      </w:r>
      <w:r w:rsidR="00082689">
        <w:t xml:space="preserve">With regard to the London Plan, it is clear that the </w:t>
      </w:r>
      <w:r w:rsidR="00D45F15">
        <w:t>DP</w:t>
      </w:r>
      <w:r w:rsidR="00082689">
        <w:t>NF has taken this into account</w:t>
      </w:r>
      <w:r w:rsidR="00082689">
        <w:rPr>
          <w:rStyle w:val="FootnoteReference"/>
        </w:rPr>
        <w:footnoteReference w:id="8"/>
      </w:r>
      <w:r w:rsidR="00D45F15">
        <w:t>.</w:t>
      </w:r>
      <w:r w:rsidR="00082689">
        <w:t xml:space="preserve"> There is no reason to conclude that the DPNP</w:t>
      </w:r>
      <w:r w:rsidR="00AE3EE8">
        <w:t xml:space="preserve"> (if made) would be in conflict with the revised version of the London Plan.</w:t>
      </w:r>
    </w:p>
    <w:p w14:paraId="6513EFBB" w14:textId="48E0B71E" w:rsidR="00B968C1" w:rsidRDefault="00B968C1" w:rsidP="00E718D8">
      <w:pPr>
        <w:spacing w:line="259" w:lineRule="auto"/>
        <w:ind w:left="426" w:hanging="426"/>
        <w:jc w:val="left"/>
      </w:pPr>
    </w:p>
    <w:p w14:paraId="6FDDE019" w14:textId="609146EB" w:rsidR="00B968C1" w:rsidRDefault="00B968C1" w:rsidP="00A14104">
      <w:pPr>
        <w:spacing w:line="259" w:lineRule="auto"/>
        <w:ind w:left="720" w:hanging="720"/>
        <w:jc w:val="left"/>
      </w:pPr>
      <w:r>
        <w:t>4.</w:t>
      </w:r>
      <w:r w:rsidR="00AE3EE8">
        <w:t xml:space="preserve">9 </w:t>
      </w:r>
      <w:r w:rsidR="00A14104">
        <w:tab/>
      </w:r>
      <w:r w:rsidR="00AE3EE8">
        <w:t>Overall the DPNP provides a satisfactory framework that will facilitate the achievement of the ‘visions’ that are set out at the start of each policy chapter.</w:t>
      </w:r>
    </w:p>
    <w:p w14:paraId="69E336BE" w14:textId="4CB7F68E" w:rsidR="00B968C1" w:rsidRDefault="00B968C1" w:rsidP="00E718D8">
      <w:pPr>
        <w:spacing w:line="259" w:lineRule="auto"/>
        <w:ind w:left="426" w:hanging="426"/>
        <w:jc w:val="left"/>
      </w:pPr>
    </w:p>
    <w:p w14:paraId="5D9AF2E9" w14:textId="40167FBE" w:rsidR="00B968C1" w:rsidRDefault="00B968C1" w:rsidP="00A14104">
      <w:pPr>
        <w:spacing w:line="259" w:lineRule="auto"/>
        <w:ind w:left="720" w:hanging="720"/>
        <w:jc w:val="left"/>
      </w:pPr>
      <w:r>
        <w:t>4.</w:t>
      </w:r>
      <w:r w:rsidR="00AE3EE8">
        <w:t xml:space="preserve">10 </w:t>
      </w:r>
      <w:r w:rsidR="00A14104">
        <w:tab/>
      </w:r>
      <w:r w:rsidR="00AE3EE8">
        <w:t>Subject to the modifications that I recommend below, I conclude that the DPNP meets the Basic Conditions. I also consider that the policies (as amended) are supported by suitable evidence, are sufficiently clear and unambiguous and that they can be applied consistently and with confidence</w:t>
      </w:r>
      <w:r w:rsidR="000171B6">
        <w:rPr>
          <w:rStyle w:val="FootnoteReference"/>
        </w:rPr>
        <w:footnoteReference w:id="9"/>
      </w:r>
      <w:r w:rsidR="00AE3EE8">
        <w:t>.</w:t>
      </w:r>
    </w:p>
    <w:p w14:paraId="403415FF" w14:textId="17351776" w:rsidR="00B968C1" w:rsidRDefault="00B968C1" w:rsidP="00E718D8">
      <w:pPr>
        <w:spacing w:line="259" w:lineRule="auto"/>
        <w:ind w:left="426" w:hanging="426"/>
        <w:jc w:val="left"/>
      </w:pPr>
    </w:p>
    <w:p w14:paraId="6AD1C402" w14:textId="77777777" w:rsidR="008D459B" w:rsidRDefault="008D459B" w:rsidP="00E718D8">
      <w:pPr>
        <w:spacing w:line="259" w:lineRule="auto"/>
        <w:ind w:left="426" w:hanging="426"/>
        <w:jc w:val="left"/>
      </w:pPr>
    </w:p>
    <w:p w14:paraId="186E8720" w14:textId="6DF33676" w:rsidR="00B968C1" w:rsidRPr="00305B1C" w:rsidRDefault="00B968C1" w:rsidP="00E718D8">
      <w:pPr>
        <w:spacing w:line="259" w:lineRule="auto"/>
        <w:ind w:left="426" w:hanging="426"/>
        <w:jc w:val="left"/>
        <w:rPr>
          <w:i/>
          <w:iCs/>
        </w:rPr>
      </w:pPr>
      <w:r w:rsidRPr="00305B1C">
        <w:rPr>
          <w:i/>
          <w:iCs/>
        </w:rPr>
        <w:lastRenderedPageBreak/>
        <w:t>Spec</w:t>
      </w:r>
      <w:r w:rsidR="007E07B1">
        <w:rPr>
          <w:i/>
          <w:iCs/>
        </w:rPr>
        <w:t>i</w:t>
      </w:r>
      <w:r w:rsidRPr="00305B1C">
        <w:rPr>
          <w:i/>
          <w:iCs/>
        </w:rPr>
        <w:t>fic Issues of Compliance of the DPNP Policies</w:t>
      </w:r>
    </w:p>
    <w:p w14:paraId="03201573" w14:textId="00E388C4" w:rsidR="00B968C1" w:rsidRDefault="00B968C1" w:rsidP="00E718D8">
      <w:pPr>
        <w:spacing w:line="259" w:lineRule="auto"/>
        <w:ind w:left="426" w:hanging="426"/>
        <w:jc w:val="left"/>
        <w:rPr>
          <w:u w:val="single"/>
        </w:rPr>
      </w:pPr>
    </w:p>
    <w:p w14:paraId="17AD65AF" w14:textId="6F27C137" w:rsidR="000905B2" w:rsidRPr="00305B1C" w:rsidRDefault="00AE3EE8" w:rsidP="00E718D8">
      <w:pPr>
        <w:spacing w:line="259" w:lineRule="auto"/>
        <w:ind w:left="426" w:hanging="426"/>
        <w:jc w:val="left"/>
        <w:rPr>
          <w:iCs/>
          <w:u w:val="single"/>
        </w:rPr>
      </w:pPr>
      <w:r w:rsidRPr="00305B1C">
        <w:rPr>
          <w:iCs/>
          <w:u w:val="single"/>
        </w:rPr>
        <w:t>Introduction and Vision and Objectives</w:t>
      </w:r>
      <w:r w:rsidR="008E7D93" w:rsidRPr="00305B1C">
        <w:rPr>
          <w:iCs/>
          <w:u w:val="single"/>
        </w:rPr>
        <w:t xml:space="preserve"> (</w:t>
      </w:r>
      <w:r w:rsidR="00326DF0" w:rsidRPr="00305B1C">
        <w:rPr>
          <w:iCs/>
          <w:u w:val="single"/>
        </w:rPr>
        <w:t>C</w:t>
      </w:r>
      <w:r w:rsidR="008E7D93" w:rsidRPr="00305B1C">
        <w:rPr>
          <w:iCs/>
          <w:u w:val="single"/>
        </w:rPr>
        <w:t>hapters 1 and 2)</w:t>
      </w:r>
      <w:r w:rsidRPr="00305B1C">
        <w:rPr>
          <w:iCs/>
          <w:u w:val="single"/>
        </w:rPr>
        <w:t xml:space="preserve"> </w:t>
      </w:r>
    </w:p>
    <w:p w14:paraId="0A813D17" w14:textId="1B115BDF" w:rsidR="00EF15B4" w:rsidRDefault="00EF15B4" w:rsidP="00E718D8">
      <w:pPr>
        <w:spacing w:line="259" w:lineRule="auto"/>
        <w:ind w:left="426" w:hanging="426"/>
        <w:jc w:val="left"/>
      </w:pPr>
    </w:p>
    <w:p w14:paraId="03FE3C8D" w14:textId="3757BC70" w:rsidR="00EF15B4" w:rsidRDefault="00EF15B4" w:rsidP="00A14104">
      <w:pPr>
        <w:spacing w:line="259" w:lineRule="auto"/>
        <w:ind w:left="709" w:hanging="709"/>
        <w:jc w:val="left"/>
      </w:pPr>
      <w:r>
        <w:t xml:space="preserve">4.11 </w:t>
      </w:r>
      <w:r w:rsidR="00A14104">
        <w:tab/>
      </w:r>
      <w:r>
        <w:t xml:space="preserve">The Introduction and ‘current picture’ are clear and succinct although in the interests of accuracy the last sentence on page 9 should refer to the Chester Balmore development being ‘more’ recent rather than ‘very’ recent </w:t>
      </w:r>
      <w:r w:rsidR="00326DF0">
        <w:t xml:space="preserve">because it was developed over 5 years ago. </w:t>
      </w:r>
      <w:r>
        <w:t xml:space="preserve">I recommend accordingly in </w:t>
      </w:r>
      <w:r w:rsidRPr="00B049B4">
        <w:rPr>
          <w:b/>
          <w:bCs/>
        </w:rPr>
        <w:t>PM</w:t>
      </w:r>
      <w:r>
        <w:rPr>
          <w:b/>
          <w:bCs/>
        </w:rPr>
        <w:t>1</w:t>
      </w:r>
      <w:r>
        <w:t>.</w:t>
      </w:r>
    </w:p>
    <w:p w14:paraId="5018B39F" w14:textId="5EAFAE01" w:rsidR="009D7131" w:rsidRDefault="009D7131" w:rsidP="00E718D8">
      <w:pPr>
        <w:spacing w:line="259" w:lineRule="auto"/>
        <w:ind w:left="426" w:hanging="426"/>
        <w:jc w:val="left"/>
      </w:pPr>
    </w:p>
    <w:p w14:paraId="1EBAC0E8" w14:textId="1541206D" w:rsidR="00B049B4" w:rsidRDefault="009D7131" w:rsidP="00A14104">
      <w:pPr>
        <w:spacing w:line="259" w:lineRule="auto"/>
        <w:ind w:left="720" w:hanging="720"/>
        <w:jc w:val="left"/>
      </w:pPr>
      <w:r>
        <w:t xml:space="preserve">4.12 </w:t>
      </w:r>
      <w:r w:rsidR="00A14104">
        <w:tab/>
      </w:r>
      <w:r>
        <w:t xml:space="preserve">The key issues for the neighbourhood as set out under </w:t>
      </w:r>
      <w:r w:rsidR="00C62105">
        <w:t xml:space="preserve">section </w:t>
      </w:r>
      <w:r>
        <w:t xml:space="preserve">2.2 are </w:t>
      </w:r>
      <w:r w:rsidR="00C62105">
        <w:t>appropriate</w:t>
      </w:r>
      <w:r>
        <w:t xml:space="preserve"> but the fourth bullet point would benefit from added clarity</w:t>
      </w:r>
      <w:r w:rsidR="00305056">
        <w:t xml:space="preserve"> </w:t>
      </w:r>
      <w:r w:rsidR="0088465C">
        <w:t xml:space="preserve">regarding </w:t>
      </w:r>
      <w:r w:rsidR="00EF15B4">
        <w:t xml:space="preserve">support for </w:t>
      </w:r>
      <w:r w:rsidR="0088465C">
        <w:t xml:space="preserve">public transport and the mitigation of harmful consequences of development </w:t>
      </w:r>
      <w:r w:rsidR="00305056">
        <w:t xml:space="preserve">and </w:t>
      </w:r>
      <w:r w:rsidR="00AA6659">
        <w:t xml:space="preserve">therefore, </w:t>
      </w:r>
      <w:r w:rsidR="00305056">
        <w:t xml:space="preserve">I recommend </w:t>
      </w:r>
      <w:r w:rsidR="00305056" w:rsidRPr="00305056">
        <w:rPr>
          <w:b/>
          <w:bCs/>
        </w:rPr>
        <w:t>PM2</w:t>
      </w:r>
      <w:r w:rsidR="00305056">
        <w:t>.</w:t>
      </w:r>
      <w:r w:rsidR="00EF15B4">
        <w:t xml:space="preserve"> The Vision and Objectives for the area are clear and from my reading of the evidence are fully reflective of the community’s aspirations.</w:t>
      </w:r>
      <w:r w:rsidR="00B049B4">
        <w:t xml:space="preserve"> </w:t>
      </w:r>
    </w:p>
    <w:p w14:paraId="00BA4A84" w14:textId="231E0A29" w:rsidR="00A14104" w:rsidRDefault="00A14104" w:rsidP="00140B62">
      <w:pPr>
        <w:spacing w:line="259" w:lineRule="auto"/>
        <w:ind w:left="0" w:firstLine="0"/>
        <w:jc w:val="left"/>
      </w:pPr>
    </w:p>
    <w:p w14:paraId="63CC69A4" w14:textId="0D3EB091" w:rsidR="00AE3EE8" w:rsidRPr="00305B1C" w:rsidRDefault="00AE3EE8" w:rsidP="00E718D8">
      <w:pPr>
        <w:spacing w:line="259" w:lineRule="auto"/>
        <w:ind w:left="426" w:hanging="426"/>
        <w:jc w:val="left"/>
        <w:rPr>
          <w:iCs/>
          <w:u w:val="single"/>
        </w:rPr>
      </w:pPr>
      <w:r w:rsidRPr="00305B1C">
        <w:rPr>
          <w:iCs/>
          <w:u w:val="single"/>
        </w:rPr>
        <w:t>Design and Character</w:t>
      </w:r>
    </w:p>
    <w:p w14:paraId="38520526" w14:textId="77777777" w:rsidR="000905B2" w:rsidRDefault="000905B2" w:rsidP="00E718D8">
      <w:pPr>
        <w:spacing w:line="259" w:lineRule="auto"/>
        <w:ind w:left="426" w:hanging="426"/>
        <w:jc w:val="left"/>
      </w:pPr>
    </w:p>
    <w:p w14:paraId="23597F4E" w14:textId="096409B0" w:rsidR="00ED67A9" w:rsidRDefault="000905B2" w:rsidP="00A14104">
      <w:pPr>
        <w:spacing w:line="259" w:lineRule="auto"/>
        <w:ind w:left="720" w:hanging="720"/>
        <w:jc w:val="left"/>
      </w:pPr>
      <w:r>
        <w:t>4.1</w:t>
      </w:r>
      <w:r w:rsidR="002F258D">
        <w:t>3</w:t>
      </w:r>
      <w:r w:rsidR="00FA27D7">
        <w:t xml:space="preserve"> </w:t>
      </w:r>
      <w:r w:rsidR="00A14104">
        <w:tab/>
      </w:r>
      <w:r w:rsidR="00FA27D7">
        <w:t>Bearing in mind much of the DPNP area is a conservation area</w:t>
      </w:r>
      <w:r w:rsidR="00ED67A9">
        <w:rPr>
          <w:rStyle w:val="FootnoteReference"/>
        </w:rPr>
        <w:footnoteReference w:id="10"/>
      </w:r>
      <w:r w:rsidR="00AA6659">
        <w:t>,</w:t>
      </w:r>
      <w:r w:rsidR="00FA27D7">
        <w:t xml:space="preserve"> together with the emphasis placed on design in the NPPF, the </w:t>
      </w:r>
      <w:r w:rsidR="00C62105">
        <w:t>DP</w:t>
      </w:r>
      <w:r w:rsidR="00FA27D7">
        <w:t>NF has rightly formulated policies that provide protection to many of the environmental attributes of the area (for example open spaces and tree-lined roads) whilst also encouraging the highest standards of design.</w:t>
      </w:r>
    </w:p>
    <w:p w14:paraId="6F7652EF" w14:textId="77777777" w:rsidR="00ED67A9" w:rsidRDefault="00ED67A9" w:rsidP="00E718D8">
      <w:pPr>
        <w:spacing w:line="259" w:lineRule="auto"/>
        <w:ind w:left="426" w:hanging="426"/>
        <w:jc w:val="left"/>
      </w:pPr>
    </w:p>
    <w:p w14:paraId="3AA9ED7A" w14:textId="7D5E9E90" w:rsidR="004409B5" w:rsidRDefault="00ED67A9" w:rsidP="00A14104">
      <w:pPr>
        <w:spacing w:line="259" w:lineRule="auto"/>
        <w:ind w:left="720" w:hanging="720"/>
        <w:jc w:val="left"/>
      </w:pPr>
      <w:r>
        <w:t>4.1</w:t>
      </w:r>
      <w:r w:rsidR="002F258D">
        <w:t>4</w:t>
      </w:r>
      <w:r>
        <w:t xml:space="preserve"> </w:t>
      </w:r>
      <w:r w:rsidR="00A14104">
        <w:tab/>
      </w:r>
      <w:r w:rsidR="00840A43">
        <w:t>Policy DC1 (E</w:t>
      </w:r>
      <w:r>
        <w:t>nhancing the sense of place)</w:t>
      </w:r>
      <w:r w:rsidR="00F34ABE">
        <w:t xml:space="preserve"> establishes the framework for ensuring the good design of new development, including appearance, scale and massing. </w:t>
      </w:r>
      <w:r w:rsidR="004409B5">
        <w:t>The area is described as ‘semi-rural’ in DC1(b) and in the first paragraph on page 21. The extent of development and the level of traffic and other activity leads me to conclude that this</w:t>
      </w:r>
      <w:r w:rsidR="00C62105">
        <w:t xml:space="preserve"> description</w:t>
      </w:r>
      <w:r w:rsidR="004409B5">
        <w:t xml:space="preserve"> is </w:t>
      </w:r>
      <w:r w:rsidR="00781A7A">
        <w:t>misleading,</w:t>
      </w:r>
      <w:r w:rsidR="00AA6CF5">
        <w:t xml:space="preserve"> and I note that in the second paragraph on page 36</w:t>
      </w:r>
      <w:r w:rsidR="00C62105">
        <w:t>,</w:t>
      </w:r>
      <w:r w:rsidR="00AA6CF5">
        <w:t xml:space="preserve"> Dartmouth Park is described as a ‘well-developed suburban area’. I consider this to be a more accurate description of the locality and therefore </w:t>
      </w:r>
      <w:r w:rsidR="004409B5">
        <w:t>recommend that the wording of both policy</w:t>
      </w:r>
      <w:r w:rsidR="00AA6CF5">
        <w:t xml:space="preserve"> DC1</w:t>
      </w:r>
      <w:r w:rsidR="004409B5">
        <w:t xml:space="preserve"> and the supporting text </w:t>
      </w:r>
      <w:r w:rsidR="00AA6659">
        <w:t xml:space="preserve">should </w:t>
      </w:r>
      <w:r w:rsidR="004409B5">
        <w:t>be changed</w:t>
      </w:r>
      <w:r w:rsidR="00C62105">
        <w:t xml:space="preserve"> to more accurately reflect the situation</w:t>
      </w:r>
      <w:r w:rsidR="004409B5">
        <w:t xml:space="preserve">, as set out in </w:t>
      </w:r>
      <w:r w:rsidR="004409B5" w:rsidRPr="00B879BC">
        <w:rPr>
          <w:b/>
          <w:bCs/>
        </w:rPr>
        <w:t>PM</w:t>
      </w:r>
      <w:r w:rsidR="00C62105">
        <w:rPr>
          <w:b/>
          <w:bCs/>
        </w:rPr>
        <w:t>3</w:t>
      </w:r>
      <w:r w:rsidR="004409B5">
        <w:t xml:space="preserve">.    </w:t>
      </w:r>
    </w:p>
    <w:p w14:paraId="6720B01D" w14:textId="77777777" w:rsidR="004409B5" w:rsidRDefault="004409B5" w:rsidP="00E718D8">
      <w:pPr>
        <w:spacing w:line="259" w:lineRule="auto"/>
        <w:ind w:left="426" w:hanging="426"/>
        <w:jc w:val="left"/>
      </w:pPr>
    </w:p>
    <w:p w14:paraId="5F9F0AC6" w14:textId="510F0AE9" w:rsidR="00970D10" w:rsidRDefault="004409B5" w:rsidP="00A14104">
      <w:pPr>
        <w:spacing w:line="259" w:lineRule="auto"/>
        <w:ind w:left="720" w:hanging="720"/>
        <w:jc w:val="left"/>
      </w:pPr>
      <w:r>
        <w:t>4.1</w:t>
      </w:r>
      <w:r w:rsidR="002F258D">
        <w:t>5</w:t>
      </w:r>
      <w:r>
        <w:t xml:space="preserve"> </w:t>
      </w:r>
      <w:r w:rsidR="00A14104">
        <w:tab/>
      </w:r>
      <w:r w:rsidR="00F34ABE">
        <w:t>The policy requires the maintenance and, where possible, the improvement of existing green or open spaces.</w:t>
      </w:r>
      <w:r w:rsidR="00970D10">
        <w:t xml:space="preserve"> In the interests of accuracy sub-section (b)(i) should require the maintenance of both green </w:t>
      </w:r>
      <w:r w:rsidR="00970D10" w:rsidRPr="00970D10">
        <w:rPr>
          <w:u w:val="single"/>
        </w:rPr>
        <w:t>and</w:t>
      </w:r>
      <w:r w:rsidR="00970D10">
        <w:t xml:space="preserve"> </w:t>
      </w:r>
      <w:r w:rsidR="000C3F15">
        <w:t xml:space="preserve">other </w:t>
      </w:r>
      <w:r w:rsidR="00970D10">
        <w:t xml:space="preserve">open spaces (there should be no option) and I recommend accordingly in </w:t>
      </w:r>
      <w:r w:rsidR="00970D10" w:rsidRPr="00970D10">
        <w:rPr>
          <w:b/>
          <w:bCs/>
        </w:rPr>
        <w:t>PM</w:t>
      </w:r>
      <w:r w:rsidR="00C62105">
        <w:rPr>
          <w:b/>
          <w:bCs/>
        </w:rPr>
        <w:t>4</w:t>
      </w:r>
      <w:r w:rsidR="00970D10">
        <w:t>.</w:t>
      </w:r>
    </w:p>
    <w:p w14:paraId="40E89C37" w14:textId="77777777" w:rsidR="00970D10" w:rsidRDefault="00970D10" w:rsidP="00E718D8">
      <w:pPr>
        <w:spacing w:line="259" w:lineRule="auto"/>
        <w:ind w:left="426" w:hanging="426"/>
        <w:jc w:val="left"/>
      </w:pPr>
    </w:p>
    <w:p w14:paraId="45128661" w14:textId="77D1DB20" w:rsidR="00ED67A9" w:rsidRDefault="00970D10" w:rsidP="00A14104">
      <w:pPr>
        <w:spacing w:line="259" w:lineRule="auto"/>
        <w:ind w:left="720" w:hanging="720"/>
        <w:jc w:val="left"/>
      </w:pPr>
      <w:r>
        <w:t>4.1</w:t>
      </w:r>
      <w:r w:rsidR="002F258D">
        <w:t>6</w:t>
      </w:r>
      <w:r>
        <w:t xml:space="preserve"> </w:t>
      </w:r>
      <w:r w:rsidR="00A14104">
        <w:tab/>
      </w:r>
      <w:r>
        <w:t xml:space="preserve">In the second paragraph on page 21 of the DPNP it states that ‘there is comparatively little space actually open to the public’. Having visited the </w:t>
      </w:r>
      <w:r>
        <w:lastRenderedPageBreak/>
        <w:t>area and seen, for example, Hampstead Heath, Parliament Hill and Highgate Cemetery, I consider this statement to be misleading. I recommend that the sentence be amended to refer to</w:t>
      </w:r>
      <w:r w:rsidR="00B879BC">
        <w:t xml:space="preserve"> the fact that any deficiency in open space is only in the extreme eastern part of the NP area. </w:t>
      </w:r>
      <w:r w:rsidR="00B879BC" w:rsidRPr="00B879BC">
        <w:rPr>
          <w:b/>
          <w:bCs/>
        </w:rPr>
        <w:t>PM</w:t>
      </w:r>
      <w:r w:rsidR="00C62105">
        <w:rPr>
          <w:b/>
          <w:bCs/>
        </w:rPr>
        <w:t>5</w:t>
      </w:r>
      <w:r w:rsidR="00B879BC">
        <w:t xml:space="preserve"> is therefore recommended. </w:t>
      </w:r>
    </w:p>
    <w:p w14:paraId="673C5D4A" w14:textId="77777777" w:rsidR="00ED67A9" w:rsidRDefault="00ED67A9" w:rsidP="00E718D8">
      <w:pPr>
        <w:spacing w:line="259" w:lineRule="auto"/>
        <w:ind w:left="426" w:hanging="426"/>
        <w:jc w:val="left"/>
      </w:pPr>
    </w:p>
    <w:p w14:paraId="14776534" w14:textId="0DCFC5FE" w:rsidR="00ED67A9" w:rsidRDefault="00ED67A9" w:rsidP="00A14104">
      <w:pPr>
        <w:spacing w:line="259" w:lineRule="auto"/>
        <w:ind w:left="720" w:hanging="720"/>
        <w:jc w:val="left"/>
      </w:pPr>
      <w:r>
        <w:t>4.1</w:t>
      </w:r>
      <w:r w:rsidR="002F258D">
        <w:t>7</w:t>
      </w:r>
      <w:r>
        <w:t xml:space="preserve"> </w:t>
      </w:r>
      <w:r w:rsidR="00A14104">
        <w:tab/>
      </w:r>
      <w:r>
        <w:t>It is essential that appropriate protection is given to h</w:t>
      </w:r>
      <w:r w:rsidR="00840A43">
        <w:t>eritage assets and policy DC2 (H</w:t>
      </w:r>
      <w:r>
        <w:t>eritage assets) sets out</w:t>
      </w:r>
      <w:r w:rsidR="004409B5">
        <w:t xml:space="preserve"> appropriate requirements. However, in order to ensure consistency with the Planning (Listed Buildings and Conservation Areas) Act 1990</w:t>
      </w:r>
      <w:r w:rsidR="00785B73">
        <w:t xml:space="preserve"> the reference </w:t>
      </w:r>
      <w:r w:rsidR="00347407">
        <w:t xml:space="preserve">in the introductory sentence </w:t>
      </w:r>
      <w:r w:rsidR="00785B73">
        <w:t xml:space="preserve">should be to ‘preserving </w:t>
      </w:r>
      <w:r w:rsidR="00347407">
        <w:t>or</w:t>
      </w:r>
      <w:r w:rsidR="00785B73">
        <w:t xml:space="preserve"> enhancing’ rather than protecting and preserving and I recommend accordingly (</w:t>
      </w:r>
      <w:r w:rsidR="00785B73" w:rsidRPr="00785B73">
        <w:rPr>
          <w:b/>
          <w:bCs/>
        </w:rPr>
        <w:t>PM</w:t>
      </w:r>
      <w:r w:rsidR="00C62105">
        <w:rPr>
          <w:b/>
          <w:bCs/>
        </w:rPr>
        <w:t>6</w:t>
      </w:r>
      <w:r w:rsidR="00785B73">
        <w:t>).</w:t>
      </w:r>
    </w:p>
    <w:p w14:paraId="0652B8AF" w14:textId="2E83D5C3" w:rsidR="00785B73" w:rsidRDefault="00785B73" w:rsidP="00E718D8">
      <w:pPr>
        <w:spacing w:line="259" w:lineRule="auto"/>
        <w:ind w:left="426" w:hanging="426"/>
        <w:jc w:val="left"/>
      </w:pPr>
    </w:p>
    <w:p w14:paraId="12AC588F" w14:textId="45002142" w:rsidR="00785B73" w:rsidRDefault="00785B73" w:rsidP="00A14104">
      <w:pPr>
        <w:spacing w:line="259" w:lineRule="auto"/>
        <w:ind w:left="720" w:hanging="720"/>
        <w:jc w:val="left"/>
      </w:pPr>
      <w:r>
        <w:t>4.1</w:t>
      </w:r>
      <w:r w:rsidR="002F258D">
        <w:t>8</w:t>
      </w:r>
      <w:r>
        <w:t xml:space="preserve"> </w:t>
      </w:r>
      <w:r w:rsidR="00A14104">
        <w:tab/>
      </w:r>
      <w:r>
        <w:t>Policy DC2 includes reference to ‘locally-listed buildings’ but these do not have the same status as buildings within a conservation area. This should be made clearer in the policy and I recommend that this part of the policy be</w:t>
      </w:r>
      <w:r w:rsidR="00CC1CA1">
        <w:t xml:space="preserve"> clarified</w:t>
      </w:r>
      <w:r>
        <w:t xml:space="preserve"> accordingly (</w:t>
      </w:r>
      <w:r w:rsidRPr="00785B73">
        <w:rPr>
          <w:b/>
          <w:bCs/>
        </w:rPr>
        <w:t>PM</w:t>
      </w:r>
      <w:r w:rsidR="00C62105">
        <w:rPr>
          <w:b/>
          <w:bCs/>
        </w:rPr>
        <w:t>7</w:t>
      </w:r>
      <w:r>
        <w:t>). Consequent changes to the</w:t>
      </w:r>
      <w:r w:rsidR="00AF030D">
        <w:t xml:space="preserve"> references in the</w:t>
      </w:r>
      <w:r>
        <w:t xml:space="preserve"> supporting text on page</w:t>
      </w:r>
      <w:r w:rsidR="00AF030D">
        <w:t>s 23 and</w:t>
      </w:r>
      <w:r>
        <w:t xml:space="preserve"> 24 </w:t>
      </w:r>
      <w:r w:rsidR="004915A9">
        <w:t xml:space="preserve">are required </w:t>
      </w:r>
      <w:r w:rsidR="00AF030D">
        <w:t>and these are therefore recommended in</w:t>
      </w:r>
      <w:r w:rsidR="00D74C2B">
        <w:t xml:space="preserve"> </w:t>
      </w:r>
      <w:r w:rsidR="00D74C2B" w:rsidRPr="00D74C2B">
        <w:rPr>
          <w:b/>
          <w:bCs/>
        </w:rPr>
        <w:t>PM</w:t>
      </w:r>
      <w:r w:rsidR="00C62105">
        <w:rPr>
          <w:b/>
          <w:bCs/>
        </w:rPr>
        <w:t>8</w:t>
      </w:r>
      <w:r w:rsidR="00D74C2B">
        <w:t>.</w:t>
      </w:r>
      <w:r>
        <w:t xml:space="preserve">  </w:t>
      </w:r>
    </w:p>
    <w:p w14:paraId="0FD7AC15" w14:textId="77777777" w:rsidR="00ED67A9" w:rsidRDefault="00ED67A9" w:rsidP="00E718D8">
      <w:pPr>
        <w:spacing w:line="259" w:lineRule="auto"/>
        <w:ind w:left="426" w:hanging="426"/>
        <w:jc w:val="left"/>
      </w:pPr>
    </w:p>
    <w:p w14:paraId="5840743C" w14:textId="58512976" w:rsidR="00ED67A9" w:rsidRDefault="00ED67A9" w:rsidP="00A14104">
      <w:pPr>
        <w:spacing w:line="259" w:lineRule="auto"/>
        <w:ind w:left="720" w:hanging="720"/>
        <w:jc w:val="left"/>
      </w:pPr>
      <w:r>
        <w:t>4.1</w:t>
      </w:r>
      <w:r w:rsidR="002F258D">
        <w:t>9</w:t>
      </w:r>
      <w:r>
        <w:t xml:space="preserve"> </w:t>
      </w:r>
      <w:r w:rsidR="00A14104">
        <w:tab/>
      </w:r>
      <w:r w:rsidR="00C621A7">
        <w:t xml:space="preserve">The 2012 </w:t>
      </w:r>
      <w:r>
        <w:t xml:space="preserve">NPPF (section </w:t>
      </w:r>
      <w:r w:rsidR="00C621A7">
        <w:t>7</w:t>
      </w:r>
      <w:r>
        <w:t xml:space="preserve">) clearly establishes the need for good design and policy DC3 </w:t>
      </w:r>
      <w:r w:rsidR="008E7D93">
        <w:t xml:space="preserve">of the DPNP </w:t>
      </w:r>
      <w:r w:rsidR="00840A43">
        <w:t>(R</w:t>
      </w:r>
      <w:r>
        <w:t>equirement for good design) provides a number of criteria to ensure that this objective is achieved.</w:t>
      </w:r>
    </w:p>
    <w:p w14:paraId="1EEC6EFB" w14:textId="77777777" w:rsidR="00ED67A9" w:rsidRDefault="00ED67A9" w:rsidP="00E718D8">
      <w:pPr>
        <w:spacing w:line="259" w:lineRule="auto"/>
        <w:ind w:left="426" w:hanging="426"/>
        <w:jc w:val="left"/>
      </w:pPr>
    </w:p>
    <w:p w14:paraId="11E6CDF6" w14:textId="1DD0394E" w:rsidR="00ED67A9" w:rsidRDefault="00ED67A9" w:rsidP="00A14104">
      <w:pPr>
        <w:spacing w:line="259" w:lineRule="auto"/>
        <w:ind w:left="720" w:hanging="720"/>
        <w:jc w:val="left"/>
      </w:pPr>
      <w:r>
        <w:t>4.</w:t>
      </w:r>
      <w:r w:rsidR="002F258D">
        <w:t>20</w:t>
      </w:r>
      <w:r>
        <w:t xml:space="preserve"> </w:t>
      </w:r>
      <w:r w:rsidR="00A14104">
        <w:tab/>
      </w:r>
      <w:r w:rsidR="00840A43">
        <w:t>Policy DC4 (S</w:t>
      </w:r>
      <w:r>
        <w:t>mall extensions) sets out the requirements in terms of</w:t>
      </w:r>
      <w:r w:rsidR="00781A7A">
        <w:t xml:space="preserve"> design, scale and protection of living conditions. The criteria are all appropriate and are in general conformity with </w:t>
      </w:r>
      <w:r w:rsidR="00C62105">
        <w:t xml:space="preserve">national guidance and </w:t>
      </w:r>
      <w:r w:rsidR="00781A7A">
        <w:t xml:space="preserve">the </w:t>
      </w:r>
      <w:r w:rsidR="000171B6">
        <w:t xml:space="preserve">strategic </w:t>
      </w:r>
      <w:r w:rsidR="00781A7A">
        <w:t>policies of the Development Plan.</w:t>
      </w:r>
      <w:r>
        <w:t xml:space="preserve"> </w:t>
      </w:r>
    </w:p>
    <w:p w14:paraId="4863F22D" w14:textId="3D4E8A5B" w:rsidR="008E7D93" w:rsidRDefault="008E7D93" w:rsidP="00E718D8">
      <w:pPr>
        <w:spacing w:line="259" w:lineRule="auto"/>
        <w:ind w:left="426" w:hanging="426"/>
        <w:jc w:val="left"/>
      </w:pPr>
    </w:p>
    <w:p w14:paraId="091E8F04" w14:textId="4C63FD72" w:rsidR="008E7D93" w:rsidRDefault="008E7D93" w:rsidP="00A14104">
      <w:pPr>
        <w:spacing w:line="259" w:lineRule="auto"/>
        <w:ind w:left="720" w:hanging="720"/>
        <w:jc w:val="left"/>
      </w:pPr>
      <w:r>
        <w:t xml:space="preserve">4.21 </w:t>
      </w:r>
      <w:r w:rsidR="00A14104">
        <w:tab/>
      </w:r>
      <w:r>
        <w:t>With the proposed modifications, the Design and Character policies all meet the Basic Conditions.</w:t>
      </w:r>
    </w:p>
    <w:p w14:paraId="32EB73FE" w14:textId="53CAE940" w:rsidR="000905B2" w:rsidRDefault="00ED67A9" w:rsidP="00A14104">
      <w:pPr>
        <w:spacing w:line="259" w:lineRule="auto"/>
        <w:ind w:left="426" w:hanging="426"/>
        <w:jc w:val="left"/>
      </w:pPr>
      <w:r>
        <w:t xml:space="preserve">  </w:t>
      </w:r>
      <w:r w:rsidR="00FA27D7">
        <w:t xml:space="preserve"> </w:t>
      </w:r>
    </w:p>
    <w:p w14:paraId="26F3B881" w14:textId="598D546C" w:rsidR="000905B2" w:rsidRPr="00305B1C" w:rsidRDefault="000905B2" w:rsidP="00E718D8">
      <w:pPr>
        <w:spacing w:line="259" w:lineRule="auto"/>
        <w:ind w:left="426" w:hanging="426"/>
        <w:jc w:val="left"/>
        <w:rPr>
          <w:iCs/>
          <w:u w:val="single"/>
        </w:rPr>
      </w:pPr>
      <w:r w:rsidRPr="00305B1C">
        <w:rPr>
          <w:iCs/>
          <w:u w:val="single"/>
        </w:rPr>
        <w:t>Housing</w:t>
      </w:r>
    </w:p>
    <w:p w14:paraId="55AB6F5E" w14:textId="1DEC90E6" w:rsidR="00B968C1" w:rsidRDefault="00B968C1" w:rsidP="00E718D8">
      <w:pPr>
        <w:spacing w:line="259" w:lineRule="auto"/>
        <w:ind w:left="426" w:hanging="426"/>
        <w:jc w:val="left"/>
        <w:rPr>
          <w:u w:val="single"/>
        </w:rPr>
      </w:pPr>
    </w:p>
    <w:p w14:paraId="1192FC99" w14:textId="3D17DA8A" w:rsidR="00AA6CF5" w:rsidRDefault="000905B2" w:rsidP="00A14104">
      <w:pPr>
        <w:spacing w:line="259" w:lineRule="auto"/>
        <w:ind w:left="720" w:hanging="720"/>
        <w:jc w:val="left"/>
      </w:pPr>
      <w:r w:rsidRPr="000905B2">
        <w:t>4.</w:t>
      </w:r>
      <w:r w:rsidR="00C621A7">
        <w:t>2</w:t>
      </w:r>
      <w:r w:rsidR="008E7D93">
        <w:t>2</w:t>
      </w:r>
      <w:r w:rsidR="00ED67A9">
        <w:t xml:space="preserve"> </w:t>
      </w:r>
      <w:r w:rsidR="00A14104">
        <w:tab/>
      </w:r>
      <w:r w:rsidR="00840A43">
        <w:t>Policy H1 (M</w:t>
      </w:r>
      <w:r w:rsidR="00ED67A9">
        <w:t xml:space="preserve">eeting housing need) will ensure that a range and balance of housing </w:t>
      </w:r>
      <w:r w:rsidR="008E7D93">
        <w:t>types and tenure are</w:t>
      </w:r>
      <w:r w:rsidR="000171B6">
        <w:t xml:space="preserve"> to</w:t>
      </w:r>
      <w:r w:rsidR="00ED67A9">
        <w:t xml:space="preserve"> be provided</w:t>
      </w:r>
      <w:r w:rsidR="00305056">
        <w:t xml:space="preserve"> and the inference is that </w:t>
      </w:r>
      <w:r w:rsidR="00ED67A9">
        <w:t>current and future housing needs</w:t>
      </w:r>
      <w:r w:rsidR="00305056">
        <w:t xml:space="preserve"> will be met</w:t>
      </w:r>
      <w:r w:rsidR="00ED67A9">
        <w:t>.</w:t>
      </w:r>
      <w:r w:rsidR="00D74C2B">
        <w:t xml:space="preserve"> However, </w:t>
      </w:r>
      <w:r w:rsidR="00305056">
        <w:t>there is no indication as to what that need might be and therefore</w:t>
      </w:r>
      <w:r w:rsidR="008E7D93">
        <w:t>,</w:t>
      </w:r>
      <w:r w:rsidR="00305056">
        <w:t xml:space="preserve"> I recommend </w:t>
      </w:r>
      <w:r w:rsidR="00305056" w:rsidRPr="00AA6CF5">
        <w:rPr>
          <w:b/>
          <w:bCs/>
        </w:rPr>
        <w:t>PM</w:t>
      </w:r>
      <w:r w:rsidR="00C62105">
        <w:rPr>
          <w:b/>
          <w:bCs/>
        </w:rPr>
        <w:t>9</w:t>
      </w:r>
      <w:r w:rsidR="00305056">
        <w:t xml:space="preserve"> which confirms that Camden’s housing target is 1,</w:t>
      </w:r>
      <w:r w:rsidR="00944F6E">
        <w:t>120</w:t>
      </w:r>
      <w:r w:rsidR="00305056">
        <w:t xml:space="preserve"> homes per annum and that </w:t>
      </w:r>
      <w:r w:rsidR="00AA6CF5">
        <w:t>Dartmouth Park will contribute to meeting that need when suitable opportunities arise.</w:t>
      </w:r>
    </w:p>
    <w:p w14:paraId="161541B8" w14:textId="77777777" w:rsidR="00AA6CF5" w:rsidRDefault="00AA6CF5" w:rsidP="00E718D8">
      <w:pPr>
        <w:spacing w:line="259" w:lineRule="auto"/>
        <w:ind w:left="426" w:hanging="426"/>
        <w:jc w:val="left"/>
      </w:pPr>
    </w:p>
    <w:p w14:paraId="177F7CFB" w14:textId="7792EFE0" w:rsidR="000905B2" w:rsidRPr="000905B2" w:rsidRDefault="00AA6CF5" w:rsidP="00A14104">
      <w:pPr>
        <w:spacing w:line="259" w:lineRule="auto"/>
        <w:ind w:left="720" w:hanging="720"/>
        <w:jc w:val="left"/>
      </w:pPr>
      <w:r>
        <w:t>4.2</w:t>
      </w:r>
      <w:r w:rsidR="008E7D93">
        <w:t>3</w:t>
      </w:r>
      <w:r>
        <w:t xml:space="preserve"> </w:t>
      </w:r>
      <w:r w:rsidR="00A14104">
        <w:tab/>
      </w:r>
      <w:r>
        <w:t>C</w:t>
      </w:r>
      <w:r w:rsidR="00D74C2B">
        <w:t xml:space="preserve">riteria (a) (ii) and (iii) and (b) </w:t>
      </w:r>
      <w:r>
        <w:t xml:space="preserve">of policy H1 </w:t>
      </w:r>
      <w:r w:rsidR="00D74C2B">
        <w:t>are design-based and not relevant to meeting housing need</w:t>
      </w:r>
      <w:r w:rsidR="000171B6">
        <w:t>, which makes the policy confusing and unclear</w:t>
      </w:r>
      <w:r w:rsidR="00D74C2B">
        <w:t>. It is therefore recommended that they are deleted</w:t>
      </w:r>
      <w:r w:rsidR="005F3CE7">
        <w:t xml:space="preserve"> and the supporting text clarified</w:t>
      </w:r>
      <w:r w:rsidR="00D74C2B">
        <w:t xml:space="preserve"> (</w:t>
      </w:r>
      <w:r w:rsidR="00D74C2B" w:rsidRPr="00D74C2B">
        <w:rPr>
          <w:b/>
          <w:bCs/>
        </w:rPr>
        <w:t>PM</w:t>
      </w:r>
      <w:r w:rsidR="00941067">
        <w:rPr>
          <w:b/>
          <w:bCs/>
        </w:rPr>
        <w:t>1</w:t>
      </w:r>
      <w:r w:rsidR="00C62105">
        <w:rPr>
          <w:b/>
          <w:bCs/>
        </w:rPr>
        <w:t>0</w:t>
      </w:r>
      <w:r w:rsidR="00D74C2B">
        <w:t>).</w:t>
      </w:r>
    </w:p>
    <w:p w14:paraId="56801B95" w14:textId="0BAEF926" w:rsidR="000905B2" w:rsidRPr="000905B2" w:rsidRDefault="000905B2" w:rsidP="00E718D8">
      <w:pPr>
        <w:spacing w:line="259" w:lineRule="auto"/>
        <w:ind w:left="426" w:hanging="426"/>
        <w:jc w:val="left"/>
      </w:pPr>
    </w:p>
    <w:p w14:paraId="5298EE5C" w14:textId="00806158" w:rsidR="000905B2" w:rsidRPr="000905B2" w:rsidRDefault="000905B2" w:rsidP="00A14104">
      <w:pPr>
        <w:spacing w:line="259" w:lineRule="auto"/>
        <w:ind w:left="720" w:hanging="720"/>
        <w:jc w:val="left"/>
      </w:pPr>
      <w:r w:rsidRPr="000905B2">
        <w:lastRenderedPageBreak/>
        <w:t>4.</w:t>
      </w:r>
      <w:r w:rsidR="00C621A7">
        <w:t>2</w:t>
      </w:r>
      <w:r w:rsidR="008E7D93">
        <w:t>4</w:t>
      </w:r>
      <w:r w:rsidR="00ED67A9">
        <w:t xml:space="preserve"> </w:t>
      </w:r>
      <w:r w:rsidR="00A14104">
        <w:tab/>
      </w:r>
      <w:r w:rsidR="00ED67A9">
        <w:t>In terms of affordable housing, policy H2 sets out a range of requirements which</w:t>
      </w:r>
      <w:r w:rsidR="00781A7A">
        <w:t xml:space="preserve"> support the provision and retention of affordable homes. The requirements meet the </w:t>
      </w:r>
      <w:r w:rsidR="004915A9">
        <w:t>B</w:t>
      </w:r>
      <w:r w:rsidR="00781A7A">
        <w:t xml:space="preserve">asic </w:t>
      </w:r>
      <w:r w:rsidR="004915A9">
        <w:t>C</w:t>
      </w:r>
      <w:r w:rsidR="00781A7A">
        <w:t xml:space="preserve">onditions (see paragraph 1.9 above) and </w:t>
      </w:r>
      <w:r w:rsidR="00A608A9">
        <w:t>should ensure that the community’s objective of ‘securing a diverse and stable neighbourhood with residents at all income levels’ will be achieved.</w:t>
      </w:r>
      <w:r w:rsidR="00781A7A">
        <w:t xml:space="preserve"> </w:t>
      </w:r>
      <w:r w:rsidR="00ED67A9">
        <w:t xml:space="preserve"> </w:t>
      </w:r>
    </w:p>
    <w:p w14:paraId="0F3C02AD" w14:textId="0C3F54B5" w:rsidR="000905B2" w:rsidRPr="000905B2" w:rsidRDefault="000905B2" w:rsidP="00E718D8">
      <w:pPr>
        <w:spacing w:line="259" w:lineRule="auto"/>
        <w:ind w:left="426" w:hanging="426"/>
        <w:jc w:val="left"/>
      </w:pPr>
    </w:p>
    <w:p w14:paraId="6AC73BBC" w14:textId="33B47D01" w:rsidR="000905B2" w:rsidRDefault="000905B2" w:rsidP="00A14104">
      <w:pPr>
        <w:spacing w:line="259" w:lineRule="auto"/>
        <w:ind w:left="720" w:hanging="720"/>
        <w:jc w:val="left"/>
      </w:pPr>
      <w:r w:rsidRPr="000905B2">
        <w:t>4.</w:t>
      </w:r>
      <w:r w:rsidR="00C621A7">
        <w:t>2</w:t>
      </w:r>
      <w:r w:rsidR="008E7D93">
        <w:t>5</w:t>
      </w:r>
      <w:r w:rsidR="00ED67A9">
        <w:t xml:space="preserve"> </w:t>
      </w:r>
      <w:r w:rsidR="00A14104">
        <w:tab/>
      </w:r>
      <w:r w:rsidR="00ED67A9">
        <w:t>Accessible housing is covered by policy H3</w:t>
      </w:r>
      <w:r w:rsidR="00A608A9">
        <w:t xml:space="preserve"> and the support that is given to downsizing and providing accommodation that is suitable for the elderly and those with disabilities, reflects the approach taken at </w:t>
      </w:r>
      <w:r w:rsidR="005E29C9">
        <w:t>b</w:t>
      </w:r>
      <w:r w:rsidR="00A608A9">
        <w:t xml:space="preserve">orough and national level and </w:t>
      </w:r>
      <w:r w:rsidR="008E7D93">
        <w:t>meets the Basic Conditions</w:t>
      </w:r>
      <w:r w:rsidR="00A608A9">
        <w:t xml:space="preserve">. </w:t>
      </w:r>
    </w:p>
    <w:p w14:paraId="40E20CC3" w14:textId="77777777" w:rsidR="0069750F" w:rsidRDefault="0069750F" w:rsidP="00E718D8">
      <w:pPr>
        <w:spacing w:line="259" w:lineRule="auto"/>
        <w:ind w:left="426" w:hanging="426"/>
        <w:jc w:val="left"/>
        <w:rPr>
          <w:iCs/>
          <w:u w:val="single"/>
        </w:rPr>
      </w:pPr>
    </w:p>
    <w:p w14:paraId="5568D7B0" w14:textId="4413A65D" w:rsidR="000905B2" w:rsidRPr="00305B1C" w:rsidRDefault="000905B2" w:rsidP="00E718D8">
      <w:pPr>
        <w:spacing w:line="259" w:lineRule="auto"/>
        <w:ind w:left="426" w:hanging="426"/>
        <w:jc w:val="left"/>
        <w:rPr>
          <w:iCs/>
          <w:u w:val="single"/>
        </w:rPr>
      </w:pPr>
      <w:r w:rsidRPr="00305B1C">
        <w:rPr>
          <w:iCs/>
          <w:u w:val="single"/>
        </w:rPr>
        <w:t>Community</w:t>
      </w:r>
    </w:p>
    <w:p w14:paraId="41B974AC" w14:textId="02BDC082" w:rsidR="000905B2" w:rsidRPr="00305B1C" w:rsidRDefault="000905B2" w:rsidP="00E718D8">
      <w:pPr>
        <w:spacing w:line="259" w:lineRule="auto"/>
        <w:ind w:left="426" w:hanging="426"/>
        <w:jc w:val="left"/>
        <w:rPr>
          <w:iCs/>
          <w:u w:val="single"/>
        </w:rPr>
      </w:pPr>
    </w:p>
    <w:p w14:paraId="304F5F40" w14:textId="556C67A3" w:rsidR="008E7D93" w:rsidRDefault="000905B2" w:rsidP="00A14104">
      <w:pPr>
        <w:spacing w:line="259" w:lineRule="auto"/>
        <w:ind w:left="720" w:hanging="720"/>
        <w:jc w:val="left"/>
      </w:pPr>
      <w:r>
        <w:t>4.2</w:t>
      </w:r>
      <w:r w:rsidR="008E7D93">
        <w:t>6</w:t>
      </w:r>
      <w:r w:rsidR="00ED67A9">
        <w:t xml:space="preserve"> </w:t>
      </w:r>
      <w:r w:rsidR="00A14104">
        <w:tab/>
      </w:r>
      <w:r w:rsidR="00ED67A9">
        <w:t xml:space="preserve">There is a wide range of community facilities within the </w:t>
      </w:r>
      <w:r w:rsidR="00C62105">
        <w:t>DP</w:t>
      </w:r>
      <w:r w:rsidR="00ED67A9">
        <w:t>NP area (</w:t>
      </w:r>
      <w:r w:rsidR="00E8061C">
        <w:t>38 are</w:t>
      </w:r>
      <w:r w:rsidR="005D2E7C">
        <w:t xml:space="preserve"> identified in Fig</w:t>
      </w:r>
      <w:r w:rsidR="00ED67A9">
        <w:t xml:space="preserve"> A3.1</w:t>
      </w:r>
      <w:r w:rsidR="00AA6659">
        <w:t xml:space="preserve"> in Appendix 3</w:t>
      </w:r>
      <w:r w:rsidR="00E8061C">
        <w:t xml:space="preserve">) and the </w:t>
      </w:r>
      <w:r w:rsidR="00C62105">
        <w:t>DP</w:t>
      </w:r>
      <w:r w:rsidR="00E8061C">
        <w:t>NF is right to seek to retain and develop these community asse</w:t>
      </w:r>
      <w:r w:rsidR="00840A43">
        <w:t>ts where possible. Policy CM1 (C</w:t>
      </w:r>
      <w:r w:rsidR="00E8061C">
        <w:t>ommunity facilities) establishes the requirements in terms of</w:t>
      </w:r>
      <w:r w:rsidR="00A608A9">
        <w:t xml:space="preserve"> the retention and development of these facilities and meets the </w:t>
      </w:r>
      <w:r w:rsidR="00793CAA">
        <w:t>B</w:t>
      </w:r>
      <w:r w:rsidR="00A608A9">
        <w:t xml:space="preserve">asic </w:t>
      </w:r>
      <w:r w:rsidR="00793CAA">
        <w:t>C</w:t>
      </w:r>
      <w:r w:rsidR="00A608A9">
        <w:t>onditions.</w:t>
      </w:r>
    </w:p>
    <w:p w14:paraId="702B72E0" w14:textId="4DE2DCB5" w:rsidR="000905B2" w:rsidRDefault="000905B2" w:rsidP="00E718D8">
      <w:pPr>
        <w:spacing w:line="259" w:lineRule="auto"/>
        <w:ind w:left="426" w:hanging="426"/>
        <w:jc w:val="left"/>
      </w:pPr>
    </w:p>
    <w:p w14:paraId="1339EF56" w14:textId="1161AA35" w:rsidR="000905B2" w:rsidRPr="00305B1C" w:rsidRDefault="000905B2" w:rsidP="00E718D8">
      <w:pPr>
        <w:spacing w:line="259" w:lineRule="auto"/>
        <w:ind w:left="426" w:hanging="426"/>
        <w:jc w:val="left"/>
        <w:rPr>
          <w:iCs/>
          <w:u w:val="single"/>
        </w:rPr>
      </w:pPr>
      <w:r w:rsidRPr="00305B1C">
        <w:rPr>
          <w:iCs/>
          <w:u w:val="single"/>
        </w:rPr>
        <w:t>Neighbourhood Centres and Employment</w:t>
      </w:r>
    </w:p>
    <w:p w14:paraId="6ACB6621" w14:textId="1819E6A5" w:rsidR="000905B2" w:rsidRDefault="000905B2" w:rsidP="00E718D8">
      <w:pPr>
        <w:spacing w:line="259" w:lineRule="auto"/>
        <w:ind w:left="426" w:hanging="426"/>
        <w:jc w:val="left"/>
      </w:pPr>
    </w:p>
    <w:p w14:paraId="3C05A93C" w14:textId="69217A91" w:rsidR="006153DD" w:rsidRDefault="000905B2" w:rsidP="00A14104">
      <w:pPr>
        <w:spacing w:line="259" w:lineRule="auto"/>
        <w:ind w:left="720" w:hanging="720"/>
        <w:jc w:val="left"/>
      </w:pPr>
      <w:r>
        <w:t>4.2</w:t>
      </w:r>
      <w:r w:rsidR="008E7D93">
        <w:t>7</w:t>
      </w:r>
      <w:r w:rsidR="00E8061C">
        <w:t xml:space="preserve"> </w:t>
      </w:r>
      <w:r w:rsidR="00A14104">
        <w:tab/>
      </w:r>
      <w:r w:rsidR="00E8061C">
        <w:t xml:space="preserve">As I saw on my visit there are a number of, what appeared to be, thriving </w:t>
      </w:r>
      <w:r w:rsidR="00403B99">
        <w:t>N</w:t>
      </w:r>
      <w:r w:rsidR="00E8061C">
        <w:t xml:space="preserve">eighbourhood </w:t>
      </w:r>
      <w:r w:rsidR="00403B99">
        <w:t>C</w:t>
      </w:r>
      <w:r w:rsidR="00E8061C">
        <w:t>entres, offering a range of services and facilities. Policy</w:t>
      </w:r>
      <w:r w:rsidR="00840A43">
        <w:t xml:space="preserve"> CE1 (S</w:t>
      </w:r>
      <w:r w:rsidR="00E8061C">
        <w:t xml:space="preserve">upporting </w:t>
      </w:r>
      <w:r w:rsidR="000F5FF7">
        <w:t>N</w:t>
      </w:r>
      <w:r w:rsidR="00E8061C">
        <w:t xml:space="preserve">eighbourhood </w:t>
      </w:r>
      <w:r w:rsidR="000F5FF7">
        <w:t>C</w:t>
      </w:r>
      <w:r w:rsidR="00E8061C">
        <w:t>entres) seeks the retention of such areas and policy CE2 supports the intensification of such centres.</w:t>
      </w:r>
      <w:r w:rsidR="00D74C2B">
        <w:t xml:space="preserve"> </w:t>
      </w:r>
      <w:r w:rsidR="00AA6659">
        <w:t xml:space="preserve">Both are relevant objectives. </w:t>
      </w:r>
      <w:r w:rsidR="00D74C2B">
        <w:t xml:space="preserve">However, policy CE1 (e) relates to the creation of a retail forum and whilst </w:t>
      </w:r>
      <w:r w:rsidR="00403B99">
        <w:t xml:space="preserve">this </w:t>
      </w:r>
      <w:r w:rsidR="000171B6">
        <w:t>may be a</w:t>
      </w:r>
      <w:r w:rsidR="00403B99">
        <w:t xml:space="preserve"> laudable </w:t>
      </w:r>
      <w:r w:rsidR="000171B6">
        <w:t xml:space="preserve">objective, </w:t>
      </w:r>
      <w:r w:rsidR="00D74C2B">
        <w:t>it is not a land use planning matter and its deletion from the policy is therefore recommended (</w:t>
      </w:r>
      <w:r w:rsidR="00D74C2B" w:rsidRPr="00D74C2B">
        <w:rPr>
          <w:b/>
          <w:bCs/>
        </w:rPr>
        <w:t>PM</w:t>
      </w:r>
      <w:r w:rsidR="00941067">
        <w:rPr>
          <w:b/>
          <w:bCs/>
        </w:rPr>
        <w:t>1</w:t>
      </w:r>
      <w:r w:rsidR="00C62105">
        <w:rPr>
          <w:b/>
          <w:bCs/>
        </w:rPr>
        <w:t>1</w:t>
      </w:r>
      <w:r w:rsidR="00D74C2B">
        <w:t>).</w:t>
      </w:r>
    </w:p>
    <w:p w14:paraId="1318A334" w14:textId="77777777" w:rsidR="006153DD" w:rsidRDefault="006153DD" w:rsidP="00E718D8">
      <w:pPr>
        <w:spacing w:line="259" w:lineRule="auto"/>
        <w:ind w:left="426" w:hanging="426"/>
        <w:jc w:val="left"/>
      </w:pPr>
    </w:p>
    <w:p w14:paraId="34B1F5B9" w14:textId="66489478" w:rsidR="000905B2" w:rsidRDefault="006153DD" w:rsidP="00A14104">
      <w:pPr>
        <w:spacing w:line="259" w:lineRule="auto"/>
        <w:ind w:left="720" w:hanging="720"/>
        <w:jc w:val="left"/>
      </w:pPr>
      <w:r>
        <w:t>4.2</w:t>
      </w:r>
      <w:r w:rsidR="008E7D93">
        <w:t>8</w:t>
      </w:r>
      <w:r>
        <w:t xml:space="preserve"> </w:t>
      </w:r>
      <w:r w:rsidR="00A14104">
        <w:tab/>
      </w:r>
      <w:r w:rsidR="00793CAA">
        <w:t xml:space="preserve">I did consider whether or not </w:t>
      </w:r>
      <w:r>
        <w:t>the policy is too restrictive. However, there would be opportunities for the provision of non-retail uses in certain circumstances and in any event</w:t>
      </w:r>
      <w:r w:rsidR="007A39E1">
        <w:t>,</w:t>
      </w:r>
      <w:r>
        <w:t xml:space="preserve"> I was provided with no evidence </w:t>
      </w:r>
      <w:r w:rsidR="00793CAA">
        <w:t xml:space="preserve">to demonstrate </w:t>
      </w:r>
      <w:r>
        <w:t>that there is currently any significant risk to the future of the existing retail uses.</w:t>
      </w:r>
      <w:r w:rsidR="00C62105">
        <w:t xml:space="preserve"> Such a policy</w:t>
      </w:r>
      <w:r w:rsidR="00793CAA">
        <w:t>, as modified,</w:t>
      </w:r>
      <w:r w:rsidR="00C62105">
        <w:t xml:space="preserve"> meets the </w:t>
      </w:r>
      <w:r w:rsidR="00AA6659">
        <w:t>B</w:t>
      </w:r>
      <w:r w:rsidR="00C62105">
        <w:t xml:space="preserve">asic </w:t>
      </w:r>
      <w:r w:rsidR="00AA6659">
        <w:t>C</w:t>
      </w:r>
      <w:r w:rsidR="00C62105">
        <w:t>onditions.</w:t>
      </w:r>
      <w:r w:rsidR="00D74C2B">
        <w:t xml:space="preserve"> </w:t>
      </w:r>
      <w:r w:rsidR="00E8061C">
        <w:t xml:space="preserve">  </w:t>
      </w:r>
    </w:p>
    <w:p w14:paraId="45E97A1B" w14:textId="28FE3BC5" w:rsidR="000905B2" w:rsidRDefault="000905B2" w:rsidP="00E718D8">
      <w:pPr>
        <w:spacing w:line="259" w:lineRule="auto"/>
        <w:ind w:left="426" w:hanging="426"/>
        <w:jc w:val="left"/>
      </w:pPr>
    </w:p>
    <w:p w14:paraId="3C47C5DD" w14:textId="54572FF2" w:rsidR="000905B2" w:rsidRDefault="000905B2" w:rsidP="00A14104">
      <w:pPr>
        <w:spacing w:line="259" w:lineRule="auto"/>
        <w:ind w:left="720" w:hanging="720"/>
        <w:jc w:val="left"/>
      </w:pPr>
      <w:r>
        <w:t>4.2</w:t>
      </w:r>
      <w:r w:rsidR="008E7D93">
        <w:t>9</w:t>
      </w:r>
      <w:r w:rsidR="00E8061C">
        <w:t xml:space="preserve"> </w:t>
      </w:r>
      <w:r w:rsidR="00A14104">
        <w:tab/>
      </w:r>
      <w:r w:rsidR="00E8061C">
        <w:t xml:space="preserve">Improving the character and appearance of the public realm in the vicinity of </w:t>
      </w:r>
      <w:r w:rsidR="00403B99">
        <w:t>N</w:t>
      </w:r>
      <w:r w:rsidR="00E8061C">
        <w:t xml:space="preserve">eighbourhood </w:t>
      </w:r>
      <w:r w:rsidR="00403B99">
        <w:t>C</w:t>
      </w:r>
      <w:r w:rsidR="00E8061C">
        <w:t xml:space="preserve">entres is a clear aspiration of the local community and this is reflected in policy CE3 which seeks to retain and where possible improve such locations. </w:t>
      </w:r>
    </w:p>
    <w:p w14:paraId="33551ECB" w14:textId="638B32B4" w:rsidR="000905B2" w:rsidRDefault="000905B2" w:rsidP="00E718D8">
      <w:pPr>
        <w:spacing w:line="259" w:lineRule="auto"/>
        <w:ind w:left="426" w:hanging="426"/>
        <w:jc w:val="left"/>
      </w:pPr>
    </w:p>
    <w:p w14:paraId="6E24FEE0" w14:textId="17B231CE" w:rsidR="000905B2" w:rsidRDefault="000905B2" w:rsidP="00A14104">
      <w:pPr>
        <w:spacing w:line="259" w:lineRule="auto"/>
        <w:ind w:left="720" w:hanging="720"/>
        <w:jc w:val="left"/>
      </w:pPr>
      <w:r>
        <w:t>4.</w:t>
      </w:r>
      <w:r w:rsidR="008E7D93">
        <w:t>30</w:t>
      </w:r>
      <w:r w:rsidR="00E8061C">
        <w:t xml:space="preserve"> </w:t>
      </w:r>
      <w:r w:rsidR="00A14104">
        <w:tab/>
      </w:r>
      <w:r w:rsidR="00E8061C">
        <w:t>In terms of employment</w:t>
      </w:r>
      <w:r w:rsidR="004915A9">
        <w:t>,</w:t>
      </w:r>
      <w:r w:rsidR="00840A43">
        <w:t xml:space="preserve"> policy CE4 (S</w:t>
      </w:r>
      <w:r w:rsidR="00E8061C">
        <w:t>upporting employment activities)</w:t>
      </w:r>
      <w:r w:rsidR="00DA02D5">
        <w:t xml:space="preserve"> sets out measures to prevent the loss of class B1 use</w:t>
      </w:r>
      <w:r w:rsidR="00DA02D5">
        <w:rPr>
          <w:rStyle w:val="FootnoteReference"/>
        </w:rPr>
        <w:footnoteReference w:id="11"/>
      </w:r>
      <w:r w:rsidR="00DA02D5">
        <w:t xml:space="preserve"> whilst also </w:t>
      </w:r>
      <w:r w:rsidR="00DA02D5">
        <w:lastRenderedPageBreak/>
        <w:t xml:space="preserve">supporting the provision of affordable workspaces and serviced meeting spaces. </w:t>
      </w:r>
      <w:r w:rsidR="00A608A9">
        <w:t>The justification for the policy is clearly set out on page 62 and I am satisfied that the policy will contribute towards achieving a more sustainable community</w:t>
      </w:r>
      <w:r w:rsidR="000B5091">
        <w:t>.</w:t>
      </w:r>
      <w:r w:rsidR="00E8061C">
        <w:t xml:space="preserve"> </w:t>
      </w:r>
    </w:p>
    <w:p w14:paraId="229F3668" w14:textId="50F7048E" w:rsidR="000905B2" w:rsidRDefault="000905B2" w:rsidP="00E718D8">
      <w:pPr>
        <w:spacing w:line="259" w:lineRule="auto"/>
        <w:ind w:left="426" w:hanging="426"/>
        <w:jc w:val="left"/>
      </w:pPr>
    </w:p>
    <w:p w14:paraId="6ED67370" w14:textId="69C00CD2" w:rsidR="00793CAA" w:rsidRDefault="000905B2" w:rsidP="00A14104">
      <w:pPr>
        <w:spacing w:line="259" w:lineRule="auto"/>
        <w:ind w:left="720" w:hanging="720"/>
        <w:jc w:val="left"/>
      </w:pPr>
      <w:r>
        <w:t>4.</w:t>
      </w:r>
      <w:r w:rsidR="00E26C1E">
        <w:t>3</w:t>
      </w:r>
      <w:r w:rsidR="008E7D93">
        <w:t>1</w:t>
      </w:r>
      <w:r w:rsidR="00DA02D5">
        <w:t xml:space="preserve"> </w:t>
      </w:r>
      <w:r w:rsidR="00A14104">
        <w:tab/>
      </w:r>
      <w:r w:rsidR="00DA02D5">
        <w:t>Policy CE5 returns to the issue of Neighbourhood Centres and in particular the visual appearance of the shop fronts and other facades.</w:t>
      </w:r>
      <w:r w:rsidR="000B5091">
        <w:t xml:space="preserve"> As far as I am aware there has been no significant challenge to the requirements of th</w:t>
      </w:r>
      <w:r w:rsidR="00793CAA">
        <w:t>is</w:t>
      </w:r>
      <w:r w:rsidR="000B5091">
        <w:t xml:space="preserve"> policy and</w:t>
      </w:r>
      <w:r w:rsidR="00C62105">
        <w:t>,</w:t>
      </w:r>
      <w:r w:rsidR="000B5091">
        <w:t xml:space="preserve"> as I saw on my visit, retaining and improving the character and appearance of the Neighbourhood Centres is an important objective in order to ensure that their vitality and viability is retained.</w:t>
      </w:r>
    </w:p>
    <w:p w14:paraId="024C2561" w14:textId="77777777" w:rsidR="00793CAA" w:rsidRDefault="00793CAA" w:rsidP="00E718D8">
      <w:pPr>
        <w:spacing w:line="259" w:lineRule="auto"/>
        <w:ind w:left="426" w:hanging="426"/>
        <w:jc w:val="left"/>
      </w:pPr>
    </w:p>
    <w:p w14:paraId="2F768E15" w14:textId="39335C74" w:rsidR="000905B2" w:rsidRDefault="00793CAA" w:rsidP="00A14104">
      <w:pPr>
        <w:spacing w:line="259" w:lineRule="auto"/>
        <w:ind w:left="720" w:hanging="720"/>
        <w:jc w:val="left"/>
      </w:pPr>
      <w:r>
        <w:t xml:space="preserve">4.32 </w:t>
      </w:r>
      <w:r w:rsidR="00A14104">
        <w:tab/>
      </w:r>
      <w:r>
        <w:t>With the proposed modifications the policies relating to Neighbourhood Centres and Employment all meet the Basic Conditions.</w:t>
      </w:r>
      <w:r w:rsidR="000B5091">
        <w:t xml:space="preserve"> </w:t>
      </w:r>
      <w:r w:rsidR="00DA02D5">
        <w:t xml:space="preserve"> </w:t>
      </w:r>
    </w:p>
    <w:p w14:paraId="5B760960" w14:textId="10F16D65" w:rsidR="00A14104" w:rsidRDefault="00A14104" w:rsidP="00840A43">
      <w:pPr>
        <w:spacing w:line="259" w:lineRule="auto"/>
        <w:ind w:left="0" w:firstLine="0"/>
        <w:jc w:val="left"/>
      </w:pPr>
    </w:p>
    <w:p w14:paraId="706E00B1" w14:textId="050B68A7" w:rsidR="000905B2" w:rsidRPr="00305B1C" w:rsidRDefault="000905B2" w:rsidP="00E718D8">
      <w:pPr>
        <w:spacing w:line="259" w:lineRule="auto"/>
        <w:ind w:left="426" w:hanging="426"/>
        <w:jc w:val="left"/>
        <w:rPr>
          <w:iCs/>
          <w:u w:val="single"/>
        </w:rPr>
      </w:pPr>
      <w:r w:rsidRPr="00305B1C">
        <w:rPr>
          <w:iCs/>
          <w:u w:val="single"/>
        </w:rPr>
        <w:t>Environment and Sustainability</w:t>
      </w:r>
    </w:p>
    <w:p w14:paraId="21BA7615" w14:textId="0950CBF0" w:rsidR="000905B2" w:rsidRDefault="000905B2" w:rsidP="00E718D8">
      <w:pPr>
        <w:spacing w:line="259" w:lineRule="auto"/>
        <w:ind w:left="426" w:hanging="426"/>
        <w:jc w:val="left"/>
      </w:pPr>
    </w:p>
    <w:p w14:paraId="7BAC7486" w14:textId="546D445A" w:rsidR="000905B2" w:rsidRDefault="000905B2" w:rsidP="00A14104">
      <w:pPr>
        <w:spacing w:line="259" w:lineRule="auto"/>
        <w:ind w:left="720" w:hanging="720"/>
        <w:jc w:val="left"/>
      </w:pPr>
      <w:r>
        <w:t>4.</w:t>
      </w:r>
      <w:r w:rsidR="00E26C1E">
        <w:t>3</w:t>
      </w:r>
      <w:r w:rsidR="00793CAA">
        <w:t>3</w:t>
      </w:r>
      <w:r w:rsidR="00DA02D5">
        <w:t xml:space="preserve"> </w:t>
      </w:r>
      <w:r w:rsidR="00A14104">
        <w:tab/>
      </w:r>
      <w:r w:rsidR="00DA02D5">
        <w:t>Green and Open Spaces are covered by policy ES1 – a policy which seeks their protection and enhancement.</w:t>
      </w:r>
      <w:r w:rsidR="00A160AE">
        <w:t xml:space="preserve"> Although the policy makes reference to the map at Fig 7A (which identifies green spaces) the key to that plan should provide greater clarity as to which of the spaces are ‘local green spaces’, which are ‘additional open spaces of value to the community’, and which are ‘existing community gardens/allotments’. </w:t>
      </w:r>
      <w:r w:rsidR="0021259D">
        <w:t>It is also difficult to accurately decipher the boundaries of the identified open spaces and therefore it is recommended that larger scale maps of each green space should be included in Appendix 4: Open spaces</w:t>
      </w:r>
      <w:r w:rsidR="004915A9">
        <w:t>,</w:t>
      </w:r>
      <w:r w:rsidR="0021259D">
        <w:t xml:space="preserve"> and cross-referenced in Fig 7A. </w:t>
      </w:r>
      <w:r w:rsidR="00A160AE" w:rsidRPr="00A160AE">
        <w:rPr>
          <w:b/>
          <w:bCs/>
        </w:rPr>
        <w:t>PM1</w:t>
      </w:r>
      <w:r w:rsidR="00C62105">
        <w:rPr>
          <w:b/>
          <w:bCs/>
        </w:rPr>
        <w:t>2</w:t>
      </w:r>
      <w:r w:rsidR="00A160AE">
        <w:t xml:space="preserve"> is therefore recommended.</w:t>
      </w:r>
    </w:p>
    <w:p w14:paraId="33F24D94" w14:textId="7196E315" w:rsidR="00A160AE" w:rsidRDefault="00A160AE" w:rsidP="00E718D8">
      <w:pPr>
        <w:spacing w:line="259" w:lineRule="auto"/>
        <w:ind w:left="426" w:hanging="426"/>
        <w:jc w:val="left"/>
      </w:pPr>
    </w:p>
    <w:p w14:paraId="51CA6C36" w14:textId="3BB9201E" w:rsidR="0021259D" w:rsidRDefault="00A160AE" w:rsidP="00A14104">
      <w:pPr>
        <w:spacing w:line="259" w:lineRule="auto"/>
        <w:ind w:left="720" w:hanging="720"/>
        <w:jc w:val="left"/>
      </w:pPr>
      <w:r>
        <w:t>4.3</w:t>
      </w:r>
      <w:r w:rsidR="00793CAA">
        <w:t>4</w:t>
      </w:r>
      <w:r>
        <w:t xml:space="preserve"> </w:t>
      </w:r>
      <w:r w:rsidR="00A14104">
        <w:tab/>
      </w:r>
      <w:r w:rsidR="0021259D">
        <w:t xml:space="preserve">In terms of the precise boundaries of the areas of </w:t>
      </w:r>
      <w:r w:rsidR="0091269E">
        <w:t xml:space="preserve">local </w:t>
      </w:r>
      <w:r w:rsidR="0021259D">
        <w:t>green</w:t>
      </w:r>
      <w:r w:rsidR="0091269E">
        <w:t xml:space="preserve"> </w:t>
      </w:r>
      <w:r w:rsidR="0021259D">
        <w:t>space</w:t>
      </w:r>
      <w:r w:rsidR="000F5FF7">
        <w:t>,</w:t>
      </w:r>
      <w:r w:rsidR="0021259D">
        <w:t xml:space="preserve"> I would advise that all the boundaries are scrutinised for accuracy. In particular I recommend </w:t>
      </w:r>
      <w:r w:rsidR="00542911">
        <w:t xml:space="preserve">in </w:t>
      </w:r>
      <w:r w:rsidR="00542911" w:rsidRPr="00542911">
        <w:rPr>
          <w:b/>
          <w:bCs/>
        </w:rPr>
        <w:t>PM</w:t>
      </w:r>
      <w:r w:rsidR="00941067">
        <w:rPr>
          <w:b/>
          <w:bCs/>
        </w:rPr>
        <w:t>1</w:t>
      </w:r>
      <w:r w:rsidR="00C62105">
        <w:rPr>
          <w:b/>
          <w:bCs/>
        </w:rPr>
        <w:t>3</w:t>
      </w:r>
      <w:r w:rsidR="00542911">
        <w:t xml:space="preserve"> </w:t>
      </w:r>
      <w:r w:rsidR="0021259D">
        <w:t>that:</w:t>
      </w:r>
    </w:p>
    <w:p w14:paraId="44927EEF" w14:textId="343CB32C" w:rsidR="00A160AE" w:rsidRDefault="0021259D" w:rsidP="0021259D">
      <w:pPr>
        <w:pStyle w:val="ListParagraph"/>
        <w:numPr>
          <w:ilvl w:val="0"/>
          <w:numId w:val="17"/>
        </w:numPr>
        <w:spacing w:line="259" w:lineRule="auto"/>
        <w:jc w:val="left"/>
      </w:pPr>
      <w:r>
        <w:t>LGS2 Highgate Enclosures should not include roads and should be re-titled as Highgate Enclosures and Grove Terrace Squares</w:t>
      </w:r>
      <w:r w:rsidR="00840A43">
        <w:t>;</w:t>
      </w:r>
    </w:p>
    <w:p w14:paraId="5E58FBFD" w14:textId="6AA05663" w:rsidR="003C253E" w:rsidRDefault="003C253E" w:rsidP="0021259D">
      <w:pPr>
        <w:pStyle w:val="ListParagraph"/>
        <w:numPr>
          <w:ilvl w:val="0"/>
          <w:numId w:val="17"/>
        </w:numPr>
        <w:spacing w:line="259" w:lineRule="auto"/>
        <w:jc w:val="left"/>
      </w:pPr>
      <w:r>
        <w:t>LGS4 Mortimer Terrace Nature Reserve should be drawn to be consistent with the other green spaces</w:t>
      </w:r>
      <w:r w:rsidR="00AB573D">
        <w:t>. It is not clear what the status is of the area bounded by a dotted line and referenced as ‘4’ on Fig 7A</w:t>
      </w:r>
      <w:r w:rsidR="00840A43">
        <w:t>;</w:t>
      </w:r>
    </w:p>
    <w:p w14:paraId="680A9536" w14:textId="226382A0" w:rsidR="0021259D" w:rsidRDefault="0021259D" w:rsidP="0021259D">
      <w:pPr>
        <w:pStyle w:val="ListParagraph"/>
        <w:numPr>
          <w:ilvl w:val="0"/>
          <w:numId w:val="17"/>
        </w:numPr>
        <w:spacing w:line="259" w:lineRule="auto"/>
        <w:jc w:val="left"/>
      </w:pPr>
      <w:r>
        <w:t>LGS5</w:t>
      </w:r>
      <w:r w:rsidR="00542911">
        <w:t xml:space="preserve"> York Rise should exclude parking areas and temporary buildings</w:t>
      </w:r>
      <w:r w:rsidR="00AB573D">
        <w:t xml:space="preserve"> and should have the same boundary style on the plan as the other identified areas</w:t>
      </w:r>
      <w:r w:rsidR="00840A43">
        <w:t>;</w:t>
      </w:r>
    </w:p>
    <w:p w14:paraId="01A0E54C" w14:textId="7E26CCED" w:rsidR="00542911" w:rsidRDefault="00542911" w:rsidP="0021259D">
      <w:pPr>
        <w:pStyle w:val="ListParagraph"/>
        <w:numPr>
          <w:ilvl w:val="0"/>
          <w:numId w:val="17"/>
        </w:numPr>
        <w:spacing w:line="259" w:lineRule="auto"/>
        <w:jc w:val="left"/>
      </w:pPr>
      <w:r>
        <w:t>LGS8 Haddo House should exclude the area of car parking and service road</w:t>
      </w:r>
      <w:r w:rsidR="00840A43">
        <w:t>; and</w:t>
      </w:r>
    </w:p>
    <w:p w14:paraId="62C37B9C" w14:textId="7326A3D5" w:rsidR="00542911" w:rsidRDefault="00542911" w:rsidP="0021259D">
      <w:pPr>
        <w:pStyle w:val="ListParagraph"/>
        <w:numPr>
          <w:ilvl w:val="0"/>
          <w:numId w:val="17"/>
        </w:numPr>
        <w:spacing w:line="259" w:lineRule="auto"/>
        <w:jc w:val="left"/>
      </w:pPr>
      <w:r>
        <w:t>OGSB Lissenden Gardens should not include the private back gardens</w:t>
      </w:r>
      <w:r w:rsidR="00840A43">
        <w:t>.</w:t>
      </w:r>
      <w:r>
        <w:t xml:space="preserve"> </w:t>
      </w:r>
    </w:p>
    <w:p w14:paraId="7037279C" w14:textId="24DC4E92" w:rsidR="000905B2" w:rsidRDefault="000F5FF7" w:rsidP="000F5FF7">
      <w:pPr>
        <w:spacing w:line="259" w:lineRule="auto"/>
        <w:ind w:left="709" w:firstLine="11"/>
        <w:jc w:val="left"/>
      </w:pPr>
      <w:r>
        <w:t>With these boundary modifications, I consider that all 8 proposed local green spaces meet the criteria in paragraph 77 of the NPPF and are therefore suitable for designation.</w:t>
      </w:r>
    </w:p>
    <w:p w14:paraId="6879F2C4" w14:textId="0881AA72" w:rsidR="005B1018" w:rsidRDefault="000905B2" w:rsidP="00A14104">
      <w:pPr>
        <w:spacing w:line="259" w:lineRule="auto"/>
        <w:ind w:left="720" w:hanging="720"/>
        <w:jc w:val="left"/>
      </w:pPr>
      <w:r>
        <w:lastRenderedPageBreak/>
        <w:t>4.3</w:t>
      </w:r>
      <w:r w:rsidR="00793CAA">
        <w:t>5</w:t>
      </w:r>
      <w:r w:rsidR="0091269E">
        <w:t xml:space="preserve"> </w:t>
      </w:r>
      <w:r w:rsidR="00A14104">
        <w:tab/>
      </w:r>
      <w:r w:rsidR="0091269E">
        <w:t>The DPNF has identified a small number of ‘other open spaces’ which include the gardens of La Sainte Union Des Sacr</w:t>
      </w:r>
      <w:r w:rsidR="005B1018">
        <w:t>é</w:t>
      </w:r>
      <w:r w:rsidR="0091269E">
        <w:t>s Coeurs School and</w:t>
      </w:r>
      <w:r w:rsidR="005B1018">
        <w:t xml:space="preserve"> the grounds of</w:t>
      </w:r>
      <w:r w:rsidR="0091269E">
        <w:t xml:space="preserve"> Parliament Hill and William Ellis School</w:t>
      </w:r>
      <w:r w:rsidR="003C37A9">
        <w:t>s</w:t>
      </w:r>
      <w:r w:rsidR="0091269E">
        <w:t>.</w:t>
      </w:r>
      <w:r w:rsidR="005B1018">
        <w:t xml:space="preserve"> The DPNF has confirmed that the intention is to protect these spaces from commercial development should they no longer be needed for educational purposes.</w:t>
      </w:r>
    </w:p>
    <w:p w14:paraId="60577436" w14:textId="77777777" w:rsidR="005B1018" w:rsidRDefault="005B1018" w:rsidP="00E718D8">
      <w:pPr>
        <w:spacing w:line="259" w:lineRule="auto"/>
        <w:ind w:left="426" w:hanging="426"/>
        <w:jc w:val="left"/>
      </w:pPr>
    </w:p>
    <w:p w14:paraId="6B1B61B1" w14:textId="4467ECCF" w:rsidR="00E36E0E" w:rsidRDefault="005B1018" w:rsidP="00A14104">
      <w:pPr>
        <w:spacing w:line="259" w:lineRule="auto"/>
        <w:ind w:left="720" w:hanging="720"/>
        <w:jc w:val="left"/>
      </w:pPr>
      <w:r>
        <w:t>4.3</w:t>
      </w:r>
      <w:r w:rsidR="00793CAA">
        <w:t>6</w:t>
      </w:r>
      <w:r>
        <w:t xml:space="preserve"> </w:t>
      </w:r>
      <w:r w:rsidR="00A14104">
        <w:tab/>
      </w:r>
      <w:r>
        <w:t>I have been given no evidence that there is any risk to the future of these educational establishments</w:t>
      </w:r>
      <w:r w:rsidR="003C37A9">
        <w:t xml:space="preserve"> (indeed it appears that there is currently significant investment being made in the Parliament Hill and William Ellis Schools) </w:t>
      </w:r>
      <w:r>
        <w:t xml:space="preserve">but even if such a risk existed any proposal would be assessed against requirements set out in the NPPF. The 2012 version, in paragraph 74, makes it clear that </w:t>
      </w:r>
      <w:r w:rsidR="003C37A9">
        <w:t>the starting point is that ‘existing open space, sports and recreational buildings and land, including playing fields, should not be built on’. This advice is carried forward into the 201</w:t>
      </w:r>
      <w:r w:rsidR="000F5FF7">
        <w:t>9</w:t>
      </w:r>
      <w:r w:rsidR="003C37A9">
        <w:t xml:space="preserve"> version of the NPPF (paragraph 97). I consider that there is insufficient justification for including areas C and D under ‘other open spaces’ on Fig 7A</w:t>
      </w:r>
      <w:r w:rsidR="00E36E0E">
        <w:t xml:space="preserve"> and therefore recommend their deletion (</w:t>
      </w:r>
      <w:r w:rsidR="00E36E0E" w:rsidRPr="00E36E0E">
        <w:rPr>
          <w:b/>
          <w:bCs/>
        </w:rPr>
        <w:t>PM1</w:t>
      </w:r>
      <w:r w:rsidR="00C62105">
        <w:rPr>
          <w:b/>
          <w:bCs/>
        </w:rPr>
        <w:t>4</w:t>
      </w:r>
      <w:r w:rsidR="00E36E0E">
        <w:t>).</w:t>
      </w:r>
    </w:p>
    <w:p w14:paraId="12C49386" w14:textId="77777777" w:rsidR="00E36E0E" w:rsidRDefault="00E36E0E" w:rsidP="00E718D8">
      <w:pPr>
        <w:spacing w:line="259" w:lineRule="auto"/>
        <w:ind w:left="426" w:hanging="426"/>
        <w:jc w:val="left"/>
      </w:pPr>
    </w:p>
    <w:p w14:paraId="7682581C" w14:textId="24A88B6A" w:rsidR="00542911" w:rsidRDefault="00E36E0E" w:rsidP="00A14104">
      <w:pPr>
        <w:spacing w:line="259" w:lineRule="auto"/>
        <w:ind w:left="720" w:hanging="720"/>
        <w:jc w:val="left"/>
      </w:pPr>
      <w:r>
        <w:t>4.3</w:t>
      </w:r>
      <w:r w:rsidR="00793CAA">
        <w:t>7</w:t>
      </w:r>
      <w:r>
        <w:t xml:space="preserve"> </w:t>
      </w:r>
      <w:r w:rsidR="00A14104">
        <w:tab/>
      </w:r>
      <w:r>
        <w:t xml:space="preserve">In the interests of accuracy ES3(c) on page 71 of the DPNP should be labelled as ES1(c) and I recommend accordingly in </w:t>
      </w:r>
      <w:r w:rsidRPr="00E36E0E">
        <w:rPr>
          <w:b/>
          <w:bCs/>
        </w:rPr>
        <w:t>PM1</w:t>
      </w:r>
      <w:r w:rsidR="00C62105">
        <w:rPr>
          <w:b/>
          <w:bCs/>
        </w:rPr>
        <w:t>5</w:t>
      </w:r>
      <w:r>
        <w:t xml:space="preserve">. </w:t>
      </w:r>
      <w:r w:rsidR="005B1018">
        <w:t xml:space="preserve"> </w:t>
      </w:r>
      <w:r w:rsidR="0091269E">
        <w:t xml:space="preserve"> </w:t>
      </w:r>
      <w:r w:rsidR="00542911">
        <w:t xml:space="preserve"> </w:t>
      </w:r>
      <w:r w:rsidR="00DA02D5">
        <w:t xml:space="preserve"> </w:t>
      </w:r>
    </w:p>
    <w:p w14:paraId="6B733966" w14:textId="77777777" w:rsidR="00542911" w:rsidRDefault="00542911" w:rsidP="00E718D8">
      <w:pPr>
        <w:spacing w:line="259" w:lineRule="auto"/>
        <w:ind w:left="426" w:hanging="426"/>
        <w:jc w:val="left"/>
      </w:pPr>
    </w:p>
    <w:p w14:paraId="48707120" w14:textId="4D0DAECF" w:rsidR="000905B2" w:rsidRDefault="00542911" w:rsidP="00A14104">
      <w:pPr>
        <w:spacing w:line="259" w:lineRule="auto"/>
        <w:ind w:left="720" w:hanging="720"/>
        <w:jc w:val="left"/>
      </w:pPr>
      <w:r>
        <w:t>4.3</w:t>
      </w:r>
      <w:r w:rsidR="00793CAA">
        <w:t>8</w:t>
      </w:r>
      <w:r>
        <w:t xml:space="preserve"> </w:t>
      </w:r>
      <w:r w:rsidR="00A14104">
        <w:tab/>
      </w:r>
      <w:r w:rsidR="00DA02D5">
        <w:t xml:space="preserve">Trees are an important element in the character of </w:t>
      </w:r>
      <w:r w:rsidR="005853F4">
        <w:t>Dartmouth Park and policy ES2 (T</w:t>
      </w:r>
      <w:r w:rsidR="00DA02D5">
        <w:t xml:space="preserve">rees) seeks to protect existing trees and increase their number. </w:t>
      </w:r>
      <w:r w:rsidR="000B5091">
        <w:t>However, it is not clear to me what is meant by the word ‘promote’ (it is not explained in the supporting text) and therefore, in the interests of clarity, I recommend an amendment to the first sentence of the policy (</w:t>
      </w:r>
      <w:r w:rsidR="000B5091" w:rsidRPr="000B5091">
        <w:rPr>
          <w:b/>
          <w:bCs/>
        </w:rPr>
        <w:t>PM1</w:t>
      </w:r>
      <w:r w:rsidR="00C62105">
        <w:rPr>
          <w:b/>
          <w:bCs/>
        </w:rPr>
        <w:t>6</w:t>
      </w:r>
      <w:r w:rsidR="000B5091">
        <w:t xml:space="preserve">). </w:t>
      </w:r>
    </w:p>
    <w:p w14:paraId="40632BDB" w14:textId="379648C0" w:rsidR="000905B2" w:rsidRDefault="000905B2" w:rsidP="00E718D8">
      <w:pPr>
        <w:spacing w:line="259" w:lineRule="auto"/>
        <w:ind w:left="426" w:hanging="426"/>
        <w:jc w:val="left"/>
      </w:pPr>
    </w:p>
    <w:p w14:paraId="345A1601" w14:textId="0AFC2D3F" w:rsidR="000905B2" w:rsidRDefault="000905B2" w:rsidP="00A14104">
      <w:pPr>
        <w:spacing w:line="259" w:lineRule="auto"/>
        <w:ind w:left="720" w:hanging="720"/>
        <w:jc w:val="left"/>
      </w:pPr>
      <w:r>
        <w:t>4.3</w:t>
      </w:r>
      <w:r w:rsidR="00793CAA">
        <w:t>9</w:t>
      </w:r>
      <w:r w:rsidR="00DA02D5">
        <w:t xml:space="preserve"> </w:t>
      </w:r>
      <w:r w:rsidR="00A14104">
        <w:tab/>
      </w:r>
      <w:r w:rsidR="00DA02D5">
        <w:t xml:space="preserve">The protection and enhancement of the area’s biodiversity is </w:t>
      </w:r>
      <w:r w:rsidR="000B5091">
        <w:t xml:space="preserve">satisfactorily </w:t>
      </w:r>
      <w:r w:rsidR="005853F4">
        <w:t>covered by policy ES3 (B</w:t>
      </w:r>
      <w:r w:rsidR="00DA02D5">
        <w:t>iodiversity)</w:t>
      </w:r>
      <w:r w:rsidR="002F258D">
        <w:t xml:space="preserve"> and </w:t>
      </w:r>
      <w:r w:rsidR="005853F4">
        <w:t>Policy ES4 (E</w:t>
      </w:r>
      <w:r w:rsidR="00DA02D5">
        <w:t xml:space="preserve">nergy efficiency) provides </w:t>
      </w:r>
      <w:r w:rsidR="002F258D">
        <w:t xml:space="preserve">appropriate </w:t>
      </w:r>
      <w:r w:rsidR="00DA02D5">
        <w:t>support for measures that increase energy efficiency and reduce energy and resour</w:t>
      </w:r>
      <w:r w:rsidR="00A43596">
        <w:t>c</w:t>
      </w:r>
      <w:r w:rsidR="00DA02D5">
        <w:t>e loss</w:t>
      </w:r>
      <w:r w:rsidR="00A43596">
        <w:t>.</w:t>
      </w:r>
      <w:r w:rsidR="002F258D">
        <w:t xml:space="preserve"> Both policies meet the </w:t>
      </w:r>
      <w:r w:rsidR="004915A9">
        <w:t>B</w:t>
      </w:r>
      <w:r w:rsidR="002F258D">
        <w:t xml:space="preserve">asic </w:t>
      </w:r>
      <w:r w:rsidR="004915A9">
        <w:t>C</w:t>
      </w:r>
      <w:r w:rsidR="002F258D">
        <w:t>onditions.</w:t>
      </w:r>
      <w:r w:rsidR="00A43596">
        <w:t xml:space="preserve"> </w:t>
      </w:r>
    </w:p>
    <w:p w14:paraId="6B26F643" w14:textId="50C264A5" w:rsidR="000905B2" w:rsidRDefault="000905B2" w:rsidP="00E718D8">
      <w:pPr>
        <w:spacing w:line="259" w:lineRule="auto"/>
        <w:ind w:left="426" w:hanging="426"/>
        <w:jc w:val="left"/>
      </w:pPr>
    </w:p>
    <w:p w14:paraId="4C9BF4F8" w14:textId="246560C6" w:rsidR="000905B2" w:rsidRPr="00305B1C" w:rsidRDefault="000905B2" w:rsidP="00E718D8">
      <w:pPr>
        <w:spacing w:line="259" w:lineRule="auto"/>
        <w:ind w:left="426" w:hanging="426"/>
        <w:jc w:val="left"/>
        <w:rPr>
          <w:iCs/>
          <w:u w:val="single"/>
        </w:rPr>
      </w:pPr>
      <w:r w:rsidRPr="00305B1C">
        <w:rPr>
          <w:iCs/>
          <w:u w:val="single"/>
        </w:rPr>
        <w:t>Transport and Streets</w:t>
      </w:r>
    </w:p>
    <w:p w14:paraId="603E40C1" w14:textId="4F470820" w:rsidR="000905B2" w:rsidRDefault="000905B2" w:rsidP="00E718D8">
      <w:pPr>
        <w:spacing w:line="259" w:lineRule="auto"/>
        <w:ind w:left="426" w:hanging="426"/>
        <w:jc w:val="left"/>
      </w:pPr>
    </w:p>
    <w:p w14:paraId="3B07C8BA" w14:textId="233F36C4" w:rsidR="00741627" w:rsidRDefault="007E6E8E" w:rsidP="00A14104">
      <w:pPr>
        <w:spacing w:line="259" w:lineRule="auto"/>
        <w:ind w:left="720" w:hanging="720"/>
        <w:jc w:val="left"/>
      </w:pPr>
      <w:r>
        <w:t>4.</w:t>
      </w:r>
      <w:r w:rsidR="00793CAA">
        <w:t>40</w:t>
      </w:r>
      <w:r>
        <w:t xml:space="preserve"> </w:t>
      </w:r>
      <w:r w:rsidR="00A14104">
        <w:tab/>
      </w:r>
      <w:r>
        <w:t>It is clear that the policies in the DPNP are consistent with the Mayor of Lo</w:t>
      </w:r>
      <w:r w:rsidR="009D5600">
        <w:t>n</w:t>
      </w:r>
      <w:r>
        <w:t>don’s Healthy Streets policies and this is confirmed in the penultimate pa</w:t>
      </w:r>
      <w:r w:rsidR="009D5600">
        <w:t>r</w:t>
      </w:r>
      <w:r>
        <w:t>agraph on page 82</w:t>
      </w:r>
      <w:r w:rsidR="000F5FF7">
        <w:t xml:space="preserve"> of the DPNP</w:t>
      </w:r>
      <w:r>
        <w:t>.</w:t>
      </w:r>
      <w:r w:rsidR="00547D00">
        <w:t xml:space="preserve"> </w:t>
      </w:r>
    </w:p>
    <w:p w14:paraId="28195B4D" w14:textId="6FD0689E" w:rsidR="009D5600" w:rsidRDefault="009D5600" w:rsidP="00E718D8">
      <w:pPr>
        <w:spacing w:line="259" w:lineRule="auto"/>
        <w:ind w:left="426" w:hanging="426"/>
        <w:jc w:val="left"/>
      </w:pPr>
    </w:p>
    <w:p w14:paraId="294A78D3" w14:textId="4599099A" w:rsidR="009D5600" w:rsidRDefault="009D5600" w:rsidP="00A14104">
      <w:pPr>
        <w:spacing w:line="259" w:lineRule="auto"/>
        <w:ind w:left="720" w:hanging="720"/>
        <w:jc w:val="left"/>
      </w:pPr>
      <w:r>
        <w:t>4.</w:t>
      </w:r>
      <w:r w:rsidR="00E26C1E">
        <w:t>4</w:t>
      </w:r>
      <w:r w:rsidR="00AA6659">
        <w:t>1</w:t>
      </w:r>
      <w:r>
        <w:t xml:space="preserve"> </w:t>
      </w:r>
      <w:r w:rsidR="00A14104">
        <w:tab/>
      </w:r>
      <w:r w:rsidR="00547D00">
        <w:t>The need to provide a safe environment for pedestrians and cyclists</w:t>
      </w:r>
      <w:r w:rsidR="005853F4">
        <w:t xml:space="preserve"> is established in policy TS1 (S</w:t>
      </w:r>
      <w:r w:rsidR="00547D00">
        <w:t xml:space="preserve">afety and accessibility for pedestrians and cyclists). </w:t>
      </w:r>
      <w:r>
        <w:t xml:space="preserve">In terms of criterion (a) </w:t>
      </w:r>
      <w:r w:rsidR="006A3575">
        <w:t>the term ‘continuous footway and cycleways’ should be removed because it is a non-standard arrangement which is not supported by legislation. The reference should be to ‘vehicle crossovers’ and I recommend accordingly (</w:t>
      </w:r>
      <w:r w:rsidR="006A3575" w:rsidRPr="006A3575">
        <w:rPr>
          <w:b/>
          <w:bCs/>
        </w:rPr>
        <w:t>PM</w:t>
      </w:r>
      <w:r w:rsidR="00941067">
        <w:rPr>
          <w:b/>
          <w:bCs/>
        </w:rPr>
        <w:t>1</w:t>
      </w:r>
      <w:r w:rsidR="00547D00">
        <w:rPr>
          <w:b/>
          <w:bCs/>
        </w:rPr>
        <w:t>7</w:t>
      </w:r>
      <w:r w:rsidR="006A3575">
        <w:t>).</w:t>
      </w:r>
    </w:p>
    <w:p w14:paraId="098B34FB" w14:textId="089C4DBB" w:rsidR="00741627" w:rsidRDefault="00741627" w:rsidP="00A14104">
      <w:pPr>
        <w:spacing w:line="259" w:lineRule="auto"/>
        <w:ind w:left="720" w:hanging="720"/>
        <w:jc w:val="left"/>
      </w:pPr>
    </w:p>
    <w:p w14:paraId="51DE4E05" w14:textId="307CB3BB" w:rsidR="00741627" w:rsidRDefault="007A44BF" w:rsidP="00E718D8">
      <w:pPr>
        <w:spacing w:line="259" w:lineRule="auto"/>
        <w:ind w:left="426" w:hanging="426"/>
        <w:jc w:val="left"/>
      </w:pPr>
      <w:r>
        <w:lastRenderedPageBreak/>
        <w:t xml:space="preserve"> </w:t>
      </w:r>
    </w:p>
    <w:p w14:paraId="730F8F8F" w14:textId="1E34603A" w:rsidR="000905B2" w:rsidRDefault="00741627" w:rsidP="00A14104">
      <w:pPr>
        <w:spacing w:line="259" w:lineRule="auto"/>
        <w:ind w:left="720" w:hanging="720"/>
        <w:jc w:val="left"/>
      </w:pPr>
      <w:r>
        <w:t>4.</w:t>
      </w:r>
      <w:r w:rsidR="00E26C1E">
        <w:t>4</w:t>
      </w:r>
      <w:r w:rsidR="00944F6E">
        <w:t>2</w:t>
      </w:r>
      <w:r>
        <w:t xml:space="preserve"> </w:t>
      </w:r>
      <w:r w:rsidR="00A14104">
        <w:tab/>
      </w:r>
      <w:r w:rsidR="007A44BF">
        <w:t>The list of potential Projects, under section 10.2 of the DPNP, includes a number which would involve highways and public realm work and I note that these may be achievable through CIL</w:t>
      </w:r>
      <w:r w:rsidR="007A44BF">
        <w:rPr>
          <w:rStyle w:val="FootnoteReference"/>
        </w:rPr>
        <w:footnoteReference w:id="12"/>
      </w:r>
      <w:r w:rsidR="007A44BF">
        <w:t xml:space="preserve"> funding. </w:t>
      </w:r>
    </w:p>
    <w:p w14:paraId="61A23BED" w14:textId="27E1F0D4" w:rsidR="000905B2" w:rsidRDefault="000905B2" w:rsidP="00E718D8">
      <w:pPr>
        <w:spacing w:line="259" w:lineRule="auto"/>
        <w:ind w:left="426" w:hanging="426"/>
        <w:jc w:val="left"/>
      </w:pPr>
    </w:p>
    <w:p w14:paraId="21E0C6EA" w14:textId="20964258" w:rsidR="000905B2" w:rsidRDefault="000905B2" w:rsidP="00A14104">
      <w:pPr>
        <w:spacing w:line="259" w:lineRule="auto"/>
        <w:ind w:left="720" w:hanging="720"/>
        <w:jc w:val="left"/>
      </w:pPr>
      <w:r>
        <w:t>4.</w:t>
      </w:r>
      <w:r w:rsidR="00E26C1E">
        <w:t>4</w:t>
      </w:r>
      <w:r w:rsidR="00944F6E">
        <w:t>3</w:t>
      </w:r>
      <w:r w:rsidR="00A43596">
        <w:t xml:space="preserve"> </w:t>
      </w:r>
      <w:r w:rsidR="00A14104">
        <w:tab/>
      </w:r>
      <w:r w:rsidR="00A43596">
        <w:t>Further cycling improvements (for example secure cycle storage) are</w:t>
      </w:r>
      <w:r w:rsidR="002F258D">
        <w:t xml:space="preserve"> satisfactorily</w:t>
      </w:r>
      <w:r w:rsidR="00A43596">
        <w:t xml:space="preserve"> addressed in policy TS2.</w:t>
      </w:r>
    </w:p>
    <w:p w14:paraId="28089B43" w14:textId="6D392085" w:rsidR="000905B2" w:rsidRDefault="000905B2" w:rsidP="00E718D8">
      <w:pPr>
        <w:spacing w:line="259" w:lineRule="auto"/>
        <w:ind w:left="426" w:hanging="426"/>
        <w:jc w:val="left"/>
      </w:pPr>
    </w:p>
    <w:p w14:paraId="183796A9" w14:textId="5ECA6313" w:rsidR="007A44BF" w:rsidRPr="00547D00" w:rsidRDefault="000905B2" w:rsidP="00A14104">
      <w:pPr>
        <w:spacing w:line="259" w:lineRule="auto"/>
        <w:ind w:left="720" w:hanging="720"/>
        <w:jc w:val="left"/>
      </w:pPr>
      <w:r>
        <w:t>4.</w:t>
      </w:r>
      <w:r w:rsidR="00E26C1E">
        <w:t>4</w:t>
      </w:r>
      <w:r w:rsidR="00944F6E">
        <w:t>4</w:t>
      </w:r>
      <w:r w:rsidR="00A43596">
        <w:t xml:space="preserve"> </w:t>
      </w:r>
      <w:r w:rsidR="00A14104">
        <w:tab/>
      </w:r>
      <w:r w:rsidR="00A43596">
        <w:t>The objective of reducing the effects of traffic on local residents f</w:t>
      </w:r>
      <w:r w:rsidR="005853F4">
        <w:t>orms the basis for policy TS3 (T</w:t>
      </w:r>
      <w:r w:rsidR="00A43596">
        <w:t>raffic reduction).</w:t>
      </w:r>
      <w:r w:rsidR="000503BB">
        <w:t xml:space="preserve"> In the interests of clarity</w:t>
      </w:r>
      <w:r w:rsidR="007A39E1">
        <w:t>,</w:t>
      </w:r>
      <w:r w:rsidR="000503BB">
        <w:t xml:space="preserve"> the reference to ‘(and not merely convenient)’ should be deleted from policy TS3(a) because it is not consistent with Camden’s approach to car-free development. </w:t>
      </w:r>
      <w:r w:rsidR="00D50D03">
        <w:t xml:space="preserve">I </w:t>
      </w:r>
      <w:r w:rsidR="00547D00">
        <w:t xml:space="preserve">also </w:t>
      </w:r>
      <w:r w:rsidR="00D50D03">
        <w:t>consider that sub-section</w:t>
      </w:r>
      <w:r w:rsidR="000503BB">
        <w:t xml:space="preserve"> (c) lacks clarity</w:t>
      </w:r>
      <w:r w:rsidR="00394A99">
        <w:t>. T</w:t>
      </w:r>
      <w:r w:rsidR="000503BB">
        <w:t xml:space="preserve">he Council considers that it could undermine </w:t>
      </w:r>
      <w:r w:rsidR="00394A99">
        <w:t>its</w:t>
      </w:r>
      <w:r w:rsidR="000503BB">
        <w:t xml:space="preserve"> car-free policy approach. On that basis</w:t>
      </w:r>
      <w:r w:rsidR="005853F4">
        <w:t>,</w:t>
      </w:r>
      <w:r w:rsidR="000503BB">
        <w:t xml:space="preserve"> I recommend that </w:t>
      </w:r>
      <w:r w:rsidR="00394A99">
        <w:t>sub-section (c)</w:t>
      </w:r>
      <w:r w:rsidR="000503BB">
        <w:t xml:space="preserve"> should be deleted</w:t>
      </w:r>
      <w:r w:rsidR="00547D00">
        <w:t xml:space="preserve">. </w:t>
      </w:r>
      <w:r w:rsidR="000503BB" w:rsidRPr="000503BB">
        <w:rPr>
          <w:b/>
          <w:bCs/>
        </w:rPr>
        <w:t>PM</w:t>
      </w:r>
      <w:r w:rsidR="00547D00">
        <w:rPr>
          <w:b/>
          <w:bCs/>
        </w:rPr>
        <w:t>1</w:t>
      </w:r>
      <w:r w:rsidR="009A7CA8">
        <w:rPr>
          <w:b/>
          <w:bCs/>
        </w:rPr>
        <w:t>8</w:t>
      </w:r>
      <w:r w:rsidR="00547D00">
        <w:rPr>
          <w:b/>
          <w:bCs/>
        </w:rPr>
        <w:t xml:space="preserve"> </w:t>
      </w:r>
      <w:r w:rsidR="00547D00" w:rsidRPr="00547D00">
        <w:t xml:space="preserve">sets out these two </w:t>
      </w:r>
      <w:r w:rsidR="00FF1917">
        <w:t>modifications,</w:t>
      </w:r>
      <w:r w:rsidR="00547D00" w:rsidRPr="00547D00">
        <w:t xml:space="preserve"> which are required</w:t>
      </w:r>
      <w:r w:rsidR="00793CAA" w:rsidRPr="00547D00">
        <w:t xml:space="preserve"> in order to ensure that the Basic Conditions are met</w:t>
      </w:r>
      <w:r w:rsidR="000503BB" w:rsidRPr="00547D00">
        <w:t>.</w:t>
      </w:r>
    </w:p>
    <w:p w14:paraId="3193A33C" w14:textId="14DEB3BB" w:rsidR="000905B2" w:rsidRDefault="000905B2" w:rsidP="00A14104">
      <w:pPr>
        <w:spacing w:line="259" w:lineRule="auto"/>
        <w:ind w:left="0" w:firstLine="0"/>
        <w:jc w:val="left"/>
      </w:pPr>
    </w:p>
    <w:p w14:paraId="372F6CAF" w14:textId="21944DCE" w:rsidR="000905B2" w:rsidRPr="00305B1C" w:rsidRDefault="000905B2" w:rsidP="00E718D8">
      <w:pPr>
        <w:spacing w:line="259" w:lineRule="auto"/>
        <w:ind w:left="426" w:hanging="426"/>
        <w:jc w:val="left"/>
        <w:rPr>
          <w:iCs/>
          <w:u w:val="single"/>
        </w:rPr>
      </w:pPr>
      <w:r w:rsidRPr="00305B1C">
        <w:rPr>
          <w:iCs/>
          <w:u w:val="single"/>
        </w:rPr>
        <w:t>Specific Neighbourhood Sites</w:t>
      </w:r>
    </w:p>
    <w:p w14:paraId="5179A251" w14:textId="4254D46B" w:rsidR="000905B2" w:rsidRDefault="000905B2" w:rsidP="00E718D8">
      <w:pPr>
        <w:spacing w:line="259" w:lineRule="auto"/>
        <w:ind w:left="426" w:hanging="426"/>
        <w:jc w:val="left"/>
      </w:pPr>
    </w:p>
    <w:p w14:paraId="1E64767D" w14:textId="1FC86D1C" w:rsidR="00AB537E" w:rsidRDefault="000905B2" w:rsidP="00F32E99">
      <w:pPr>
        <w:spacing w:line="259" w:lineRule="auto"/>
        <w:ind w:left="720" w:hanging="720"/>
        <w:jc w:val="left"/>
      </w:pPr>
      <w:r>
        <w:t>4.</w:t>
      </w:r>
      <w:r w:rsidR="00E26C1E">
        <w:t>4</w:t>
      </w:r>
      <w:r w:rsidR="00944F6E">
        <w:t>5</w:t>
      </w:r>
      <w:r w:rsidR="00A43596">
        <w:t xml:space="preserve"> </w:t>
      </w:r>
      <w:r w:rsidR="00F32E99">
        <w:tab/>
      </w:r>
      <w:r w:rsidR="00A43596">
        <w:t>Chapter 9 sets out a number of community aspirations for specific neighbourhood development sites. It is made clear that these are only aspirations and that consequently they are not subject to specific policies</w:t>
      </w:r>
      <w:r w:rsidR="009A7CA8">
        <w:t>. It should be made clearer, however, that they</w:t>
      </w:r>
      <w:r w:rsidR="00F45D8A">
        <w:t xml:space="preserve"> do not form part of the statutory Development Plan</w:t>
      </w:r>
      <w:r w:rsidR="00F45D8A">
        <w:rPr>
          <w:rStyle w:val="FootnoteReference"/>
        </w:rPr>
        <w:footnoteReference w:id="13"/>
      </w:r>
      <w:r w:rsidR="009A7CA8">
        <w:t xml:space="preserve"> and I recommend </w:t>
      </w:r>
      <w:r w:rsidR="009A7CA8" w:rsidRPr="009A7CA8">
        <w:rPr>
          <w:b/>
          <w:bCs/>
        </w:rPr>
        <w:t>PM</w:t>
      </w:r>
      <w:r w:rsidR="009A7CA8">
        <w:rPr>
          <w:b/>
          <w:bCs/>
        </w:rPr>
        <w:t>19</w:t>
      </w:r>
      <w:r w:rsidR="009A7CA8">
        <w:t xml:space="preserve"> accordingly</w:t>
      </w:r>
      <w:r w:rsidR="00A43596">
        <w:t>.</w:t>
      </w:r>
      <w:r w:rsidR="00AB537E">
        <w:t xml:space="preserve"> Camden Council consider that the aspirations should be made more flexible, for example by replacing ‘will be expected to’ by ‘should’. However, I consider that the DPNF is justified in seeking to set out its aspirations in a positive and unambiguous way.</w:t>
      </w:r>
    </w:p>
    <w:p w14:paraId="66C971BB" w14:textId="591D1036" w:rsidR="006153DD" w:rsidRDefault="006153DD" w:rsidP="00E718D8">
      <w:pPr>
        <w:spacing w:line="259" w:lineRule="auto"/>
        <w:ind w:left="426" w:hanging="426"/>
        <w:jc w:val="left"/>
      </w:pPr>
    </w:p>
    <w:p w14:paraId="4B03DC6E" w14:textId="53CD8C0A" w:rsidR="006153DD" w:rsidRDefault="006153DD" w:rsidP="00F32E99">
      <w:pPr>
        <w:spacing w:line="259" w:lineRule="auto"/>
        <w:ind w:left="720" w:hanging="720"/>
        <w:jc w:val="left"/>
      </w:pPr>
      <w:r>
        <w:t>4.</w:t>
      </w:r>
      <w:r w:rsidR="00E26C1E">
        <w:t>4</w:t>
      </w:r>
      <w:r w:rsidR="00944F6E">
        <w:t>6</w:t>
      </w:r>
      <w:r>
        <w:t xml:space="preserve"> </w:t>
      </w:r>
      <w:r w:rsidR="00F32E99">
        <w:tab/>
      </w:r>
      <w:r>
        <w:t>I have given considerable thought as to whether or not any of the</w:t>
      </w:r>
      <w:r w:rsidR="002F258D">
        <w:t xml:space="preserve"> identified neighbourhood</w:t>
      </w:r>
      <w:r>
        <w:t xml:space="preserve"> sites should be specifically allocated. However, the</w:t>
      </w:r>
      <w:r w:rsidR="009D5600">
        <w:t xml:space="preserve"> scope of the DPNP is a matter for the </w:t>
      </w:r>
      <w:r w:rsidR="00390553">
        <w:t>DPNF</w:t>
      </w:r>
      <w:r w:rsidR="009D5600">
        <w:t xml:space="preserve"> and I am satisfied that Chapter 9 of the DPNP satisfactorily establishes the principles for the development of the identified sites. </w:t>
      </w:r>
      <w:r>
        <w:t xml:space="preserve"> </w:t>
      </w:r>
    </w:p>
    <w:p w14:paraId="35730988" w14:textId="77777777" w:rsidR="00AB537E" w:rsidRDefault="00AB537E" w:rsidP="00E718D8">
      <w:pPr>
        <w:spacing w:line="259" w:lineRule="auto"/>
        <w:ind w:left="426" w:hanging="426"/>
        <w:jc w:val="left"/>
      </w:pPr>
    </w:p>
    <w:p w14:paraId="2CB9B1C7" w14:textId="3C14F655" w:rsidR="000622C9" w:rsidRDefault="00AB537E" w:rsidP="00F32E99">
      <w:pPr>
        <w:spacing w:line="259" w:lineRule="auto"/>
        <w:ind w:left="720" w:hanging="720"/>
        <w:jc w:val="left"/>
      </w:pPr>
      <w:r>
        <w:t>4.</w:t>
      </w:r>
      <w:r w:rsidR="00AA6659">
        <w:t>4</w:t>
      </w:r>
      <w:r w:rsidR="00944F6E">
        <w:t>7</w:t>
      </w:r>
      <w:r>
        <w:t xml:space="preserve"> </w:t>
      </w:r>
      <w:r w:rsidR="00F32E99">
        <w:tab/>
      </w:r>
      <w:r>
        <w:t xml:space="preserve">With regard to Murphy’s Yard I asked the DPNF for additional justification for its approach </w:t>
      </w:r>
      <w:r w:rsidR="00390553">
        <w:t xml:space="preserve">towards the future of the site </w:t>
      </w:r>
      <w:r>
        <w:t xml:space="preserve">and I am satisfied that the response, dated 11 June 2019, clearly sets out the reasoning behind the community aspirations for this </w:t>
      </w:r>
      <w:r w:rsidR="00390553">
        <w:t>area of land</w:t>
      </w:r>
      <w:r>
        <w:t xml:space="preserve">. There is no reason that I am aware of why the aspirations of </w:t>
      </w:r>
      <w:r w:rsidR="00793CAA">
        <w:t>the</w:t>
      </w:r>
      <w:r>
        <w:t xml:space="preserve"> local community should match exactly the aspirations of </w:t>
      </w:r>
      <w:r w:rsidR="00793CAA">
        <w:t>the</w:t>
      </w:r>
      <w:r>
        <w:t xml:space="preserve"> Borough Council.</w:t>
      </w:r>
    </w:p>
    <w:p w14:paraId="0B3AFDB6" w14:textId="77777777" w:rsidR="0034792C" w:rsidRDefault="0034792C" w:rsidP="00F32E99">
      <w:pPr>
        <w:spacing w:line="259" w:lineRule="auto"/>
        <w:ind w:left="720" w:hanging="720"/>
        <w:jc w:val="left"/>
      </w:pPr>
    </w:p>
    <w:p w14:paraId="11DB785F" w14:textId="07794484" w:rsidR="001B41A7" w:rsidRDefault="001B41A7" w:rsidP="001B41A7">
      <w:pPr>
        <w:spacing w:line="259" w:lineRule="auto"/>
        <w:ind w:left="720" w:hanging="720"/>
        <w:jc w:val="left"/>
      </w:pPr>
      <w:r>
        <w:lastRenderedPageBreak/>
        <w:t>4.4</w:t>
      </w:r>
      <w:r w:rsidR="00944F6E">
        <w:t>8</w:t>
      </w:r>
      <w:r>
        <w:tab/>
        <w:t>A policy is included on page 91 relating to community engagement – SNS1. However, it does not specifically relate to the development and use of land and although the aspiration embedded within the policy is appropriate, it should not be given the status of a policy. Therefore, I recommend that policy SNS1 be downgraded to become a paragraph within the text and that the reference: SNS1 be deleted (</w:t>
      </w:r>
      <w:r w:rsidRPr="00D4364C">
        <w:rPr>
          <w:b/>
          <w:bCs/>
        </w:rPr>
        <w:t>PM20</w:t>
      </w:r>
      <w:r>
        <w:t xml:space="preserve">). In this </w:t>
      </w:r>
      <w:r w:rsidR="006B36DA">
        <w:t>way,</w:t>
      </w:r>
      <w:r>
        <w:t xml:space="preserve"> the Basic Conditions will be met. </w:t>
      </w:r>
    </w:p>
    <w:p w14:paraId="1DC7B79B" w14:textId="77777777" w:rsidR="001B41A7" w:rsidRDefault="001B41A7" w:rsidP="00E718D8">
      <w:pPr>
        <w:spacing w:line="259" w:lineRule="auto"/>
        <w:ind w:left="426" w:hanging="426"/>
        <w:jc w:val="left"/>
      </w:pPr>
    </w:p>
    <w:p w14:paraId="4B65E24A" w14:textId="7D9F97F4" w:rsidR="000905B2" w:rsidRDefault="000622C9" w:rsidP="00F32E99">
      <w:pPr>
        <w:spacing w:line="259" w:lineRule="auto"/>
        <w:ind w:left="720" w:hanging="720"/>
        <w:jc w:val="left"/>
      </w:pPr>
      <w:r>
        <w:t>4.</w:t>
      </w:r>
      <w:r w:rsidR="00944F6E">
        <w:t>49</w:t>
      </w:r>
      <w:r>
        <w:t xml:space="preserve"> </w:t>
      </w:r>
      <w:r w:rsidR="00F32E99">
        <w:tab/>
      </w:r>
      <w:r w:rsidR="00390553">
        <w:t>Camden</w:t>
      </w:r>
      <w:r>
        <w:t xml:space="preserve"> Council refers (in its consultation response) to comments on page 101 of the DPNP regarding a consented scheme at Highgate Newtown Community Centre. As far as I am aware work on the proposal has not yet commenced but even if it had, I see no reason to delete reference to the widespread concern</w:t>
      </w:r>
      <w:r w:rsidR="00793CAA">
        <w:t>s</w:t>
      </w:r>
      <w:r>
        <w:t xml:space="preserve"> of local residents. I note the reference to the Examiner’s comments regarding the Highgate N</w:t>
      </w:r>
      <w:r w:rsidR="005853F4">
        <w:t xml:space="preserve">eighbourhood </w:t>
      </w:r>
      <w:r>
        <w:t>P</w:t>
      </w:r>
      <w:r w:rsidR="005853F4">
        <w:t>lan</w:t>
      </w:r>
      <w:r>
        <w:t xml:space="preserve"> but I am not familiar with the circumstances of that </w:t>
      </w:r>
      <w:r w:rsidR="00337C4F">
        <w:t>E</w:t>
      </w:r>
      <w:r w:rsidR="00390553">
        <w:t>xamination</w:t>
      </w:r>
      <w:r>
        <w:t xml:space="preserve"> </w:t>
      </w:r>
      <w:r w:rsidR="002F258D">
        <w:t>and</w:t>
      </w:r>
      <w:r>
        <w:t xml:space="preserve"> in any event</w:t>
      </w:r>
      <w:r w:rsidR="005853F4">
        <w:t>,</w:t>
      </w:r>
      <w:r>
        <w:t xml:space="preserve"> I am required to undertake this Examination on its own merits.  </w:t>
      </w:r>
      <w:r w:rsidR="00AB537E">
        <w:t xml:space="preserve"> </w:t>
      </w:r>
    </w:p>
    <w:p w14:paraId="5B0026E8" w14:textId="2FE169E0" w:rsidR="000905B2" w:rsidRDefault="000905B2" w:rsidP="00E718D8">
      <w:pPr>
        <w:spacing w:line="259" w:lineRule="auto"/>
        <w:ind w:left="426" w:hanging="426"/>
        <w:jc w:val="left"/>
      </w:pPr>
    </w:p>
    <w:p w14:paraId="3FD21234" w14:textId="73E43FF8" w:rsidR="000905B2" w:rsidRDefault="000905B2" w:rsidP="00F32E99">
      <w:pPr>
        <w:spacing w:line="259" w:lineRule="auto"/>
        <w:ind w:left="720" w:hanging="720"/>
        <w:jc w:val="left"/>
      </w:pPr>
      <w:r>
        <w:t>4.</w:t>
      </w:r>
      <w:r w:rsidR="00E26C1E">
        <w:t>5</w:t>
      </w:r>
      <w:r w:rsidR="00944F6E">
        <w:t>0</w:t>
      </w:r>
      <w:r w:rsidR="002F258D">
        <w:t xml:space="preserve"> </w:t>
      </w:r>
      <w:r w:rsidR="00F32E99">
        <w:tab/>
      </w:r>
      <w:r w:rsidR="002F258D">
        <w:t xml:space="preserve">It is not my responsibility to </w:t>
      </w:r>
      <w:r w:rsidR="00F45D8A">
        <w:t xml:space="preserve">examine or </w:t>
      </w:r>
      <w:r w:rsidR="002F258D">
        <w:t xml:space="preserve">determine what the aspirations of the community should be but from the evidence before me </w:t>
      </w:r>
      <w:r w:rsidR="00F45D8A">
        <w:t xml:space="preserve">it appears </w:t>
      </w:r>
      <w:r w:rsidR="00B879BC">
        <w:t>that the aspirations</w:t>
      </w:r>
      <w:r w:rsidR="002F258D">
        <w:t xml:space="preserve"> set out in the DPNP</w:t>
      </w:r>
      <w:r w:rsidR="00B879BC">
        <w:t xml:space="preserve"> </w:t>
      </w:r>
      <w:r w:rsidR="00FA0C5B">
        <w:t>represent the genuine desires of local people</w:t>
      </w:r>
      <w:r w:rsidR="002F258D">
        <w:t>.</w:t>
      </w:r>
    </w:p>
    <w:p w14:paraId="58DB6FC6" w14:textId="50A5CF31" w:rsidR="00F32E99" w:rsidRDefault="00F32E99" w:rsidP="005853F4">
      <w:pPr>
        <w:spacing w:line="259" w:lineRule="auto"/>
        <w:ind w:left="0" w:firstLine="0"/>
        <w:jc w:val="left"/>
      </w:pPr>
    </w:p>
    <w:p w14:paraId="65996C68" w14:textId="74ACF42B" w:rsidR="000905B2" w:rsidRPr="00305B1C" w:rsidRDefault="000905B2" w:rsidP="00E718D8">
      <w:pPr>
        <w:spacing w:line="259" w:lineRule="auto"/>
        <w:ind w:left="426" w:hanging="426"/>
        <w:jc w:val="left"/>
        <w:rPr>
          <w:iCs/>
          <w:u w:val="single"/>
        </w:rPr>
      </w:pPr>
      <w:r w:rsidRPr="00305B1C">
        <w:rPr>
          <w:iCs/>
          <w:u w:val="single"/>
        </w:rPr>
        <w:t>Delivery, Monitoring and Future Review</w:t>
      </w:r>
    </w:p>
    <w:p w14:paraId="2A20141A" w14:textId="2BAFFFD7" w:rsidR="000905B2" w:rsidRDefault="000905B2" w:rsidP="00E718D8">
      <w:pPr>
        <w:spacing w:line="259" w:lineRule="auto"/>
        <w:ind w:left="426" w:hanging="426"/>
        <w:jc w:val="left"/>
      </w:pPr>
    </w:p>
    <w:p w14:paraId="6F678973" w14:textId="717C6063" w:rsidR="000905B2" w:rsidRDefault="000905B2" w:rsidP="00F32E99">
      <w:pPr>
        <w:spacing w:line="259" w:lineRule="auto"/>
        <w:ind w:left="720" w:hanging="720"/>
        <w:jc w:val="left"/>
      </w:pPr>
      <w:r>
        <w:t>4.</w:t>
      </w:r>
      <w:r w:rsidR="00E26C1E">
        <w:t>5</w:t>
      </w:r>
      <w:r w:rsidR="00944F6E">
        <w:t>1</w:t>
      </w:r>
      <w:r w:rsidR="00337C4F">
        <w:t xml:space="preserve"> </w:t>
      </w:r>
      <w:r w:rsidR="00F32E99">
        <w:tab/>
      </w:r>
      <w:r w:rsidR="004977A0">
        <w:t xml:space="preserve">The DPNP includes a chapter entitled Delivery, Monitoring and Future Review. However, there is a lack of detail regarding the role of the </w:t>
      </w:r>
      <w:r w:rsidR="00390553">
        <w:t>DP</w:t>
      </w:r>
      <w:r w:rsidR="004977A0">
        <w:t>NF. It is therefore recommended that an additional sentence be added to the second paragraph under 10.1 Monitoring and Review, which provides a stronger confirmation of the continuing role of the DPNF (</w:t>
      </w:r>
      <w:r w:rsidR="004977A0" w:rsidRPr="004977A0">
        <w:rPr>
          <w:b/>
          <w:bCs/>
        </w:rPr>
        <w:t>PM</w:t>
      </w:r>
      <w:r w:rsidR="00941067">
        <w:rPr>
          <w:b/>
          <w:bCs/>
        </w:rPr>
        <w:t>2</w:t>
      </w:r>
      <w:r w:rsidR="001B41A7">
        <w:rPr>
          <w:b/>
          <w:bCs/>
        </w:rPr>
        <w:t>1</w:t>
      </w:r>
      <w:r w:rsidR="004977A0">
        <w:t>).</w:t>
      </w:r>
    </w:p>
    <w:p w14:paraId="2B77D988" w14:textId="2FE1090E" w:rsidR="000905B2" w:rsidRDefault="000905B2" w:rsidP="00E718D8">
      <w:pPr>
        <w:spacing w:line="259" w:lineRule="auto"/>
        <w:ind w:left="426" w:hanging="426"/>
        <w:jc w:val="left"/>
      </w:pPr>
    </w:p>
    <w:p w14:paraId="6C0D7C6C" w14:textId="10EEE2D3" w:rsidR="00DD7673" w:rsidRPr="00DD7673" w:rsidRDefault="003C2FD3" w:rsidP="00E718D8">
      <w:pPr>
        <w:spacing w:line="259" w:lineRule="auto"/>
        <w:ind w:left="426" w:hanging="426"/>
        <w:jc w:val="left"/>
        <w:rPr>
          <w:iCs/>
        </w:rPr>
      </w:pPr>
      <w:r>
        <w:rPr>
          <w:i/>
        </w:rPr>
        <w:t>Clarity of Presentation</w:t>
      </w:r>
    </w:p>
    <w:p w14:paraId="5D0E64D0" w14:textId="0C3E5D00" w:rsidR="000905B2" w:rsidRDefault="000905B2" w:rsidP="00E718D8">
      <w:pPr>
        <w:spacing w:line="259" w:lineRule="auto"/>
        <w:ind w:left="426" w:hanging="426"/>
        <w:jc w:val="left"/>
      </w:pPr>
    </w:p>
    <w:p w14:paraId="3DFCC9F3" w14:textId="21001E07" w:rsidR="00DD7673" w:rsidRDefault="000905B2" w:rsidP="00F32E99">
      <w:pPr>
        <w:spacing w:line="259" w:lineRule="auto"/>
        <w:ind w:left="720" w:hanging="720"/>
        <w:jc w:val="left"/>
      </w:pPr>
      <w:r>
        <w:t>4.</w:t>
      </w:r>
      <w:r w:rsidR="00E26C1E">
        <w:t>5</w:t>
      </w:r>
      <w:r w:rsidR="00944F6E">
        <w:t>2</w:t>
      </w:r>
      <w:r w:rsidR="00DD7673">
        <w:t xml:space="preserve"> </w:t>
      </w:r>
      <w:r w:rsidR="00F32E99">
        <w:tab/>
      </w:r>
      <w:r w:rsidR="00DD7673">
        <w:t>Whilst the DPNP is well structured</w:t>
      </w:r>
      <w:r w:rsidR="00337C4F">
        <w:t xml:space="preserve">, </w:t>
      </w:r>
      <w:r w:rsidR="00DD7673">
        <w:t>it would be easier to navigate through it if the paragraphs were numbered</w:t>
      </w:r>
      <w:r w:rsidR="00334700">
        <w:t>. However, I recognise it is beyond the scope of my remit to formally recommend a modification to this effect.</w:t>
      </w:r>
      <w:r w:rsidR="001B41A7">
        <w:t xml:space="preserve"> </w:t>
      </w:r>
    </w:p>
    <w:p w14:paraId="0F0D63D2" w14:textId="77777777" w:rsidR="00EF15B4" w:rsidRDefault="00EF15B4" w:rsidP="00E718D8">
      <w:pPr>
        <w:spacing w:line="259" w:lineRule="auto"/>
        <w:ind w:left="426" w:hanging="426"/>
        <w:jc w:val="left"/>
      </w:pPr>
    </w:p>
    <w:p w14:paraId="1D7426BE" w14:textId="5B50F969" w:rsidR="00B049B4" w:rsidRDefault="00EF15B4" w:rsidP="00F32E99">
      <w:pPr>
        <w:spacing w:line="259" w:lineRule="auto"/>
        <w:ind w:left="720" w:hanging="720"/>
        <w:jc w:val="left"/>
      </w:pPr>
      <w:r>
        <w:t>4.5</w:t>
      </w:r>
      <w:r w:rsidR="00944F6E">
        <w:t>3</w:t>
      </w:r>
      <w:r>
        <w:t xml:space="preserve"> </w:t>
      </w:r>
      <w:r w:rsidR="00F32E99">
        <w:tab/>
      </w:r>
      <w:r>
        <w:t xml:space="preserve">There is a lack of clarity and consistency in some of the Plans and Figures in the </w:t>
      </w:r>
      <w:r w:rsidR="00A53EA7">
        <w:t>DP</w:t>
      </w:r>
      <w:r>
        <w:t xml:space="preserve">NP. In particular the route of the Neighbourhood Area boundary is not consistent throughout (for example it is not the same in Fig 1A, in the Introduction, when compared to Fig 3A). I am told by the DPNF that the correct boundary is that delineated on Fig 1A in the DPNP. This boundary should therefore be used for all the </w:t>
      </w:r>
      <w:r w:rsidR="00FE5668">
        <w:t>p</w:t>
      </w:r>
      <w:r>
        <w:t>lans in the document where the bou</w:t>
      </w:r>
      <w:r w:rsidR="005D2E7C">
        <w:t>ndary is shown. Similarly</w:t>
      </w:r>
      <w:r w:rsidR="0084147D">
        <w:t>,</w:t>
      </w:r>
      <w:r w:rsidR="005D2E7C">
        <w:t xml:space="preserve"> Fig</w:t>
      </w:r>
      <w:r>
        <w:t xml:space="preserve"> 6A would benefit from having the names of the Neighb</w:t>
      </w:r>
      <w:r w:rsidR="005D2E7C">
        <w:t>ourhood Centres added and Fig</w:t>
      </w:r>
      <w:r>
        <w:t xml:space="preserve"> 3A would be easier to interpret if it was at a larger scale. I therefore recommend in </w:t>
      </w:r>
      <w:r w:rsidRPr="00FA27D7">
        <w:rPr>
          <w:b/>
        </w:rPr>
        <w:t>PM</w:t>
      </w:r>
      <w:r w:rsidR="00390553">
        <w:rPr>
          <w:b/>
        </w:rPr>
        <w:t>2</w:t>
      </w:r>
      <w:r w:rsidR="00547D00">
        <w:rPr>
          <w:b/>
        </w:rPr>
        <w:t>2</w:t>
      </w:r>
      <w:r>
        <w:t xml:space="preserve">, that all the </w:t>
      </w:r>
      <w:r w:rsidR="00FE5668">
        <w:t>p</w:t>
      </w:r>
      <w:r>
        <w:t xml:space="preserve">lans in the document should be reviewed in order to ensure that clarity and consistency is achieved. </w:t>
      </w:r>
    </w:p>
    <w:p w14:paraId="25352A4C" w14:textId="57112100" w:rsidR="009F685C" w:rsidRDefault="009F685C" w:rsidP="00E718D8">
      <w:pPr>
        <w:spacing w:line="259" w:lineRule="auto"/>
        <w:ind w:left="0" w:firstLine="0"/>
        <w:jc w:val="left"/>
        <w:rPr>
          <w:b/>
        </w:rPr>
      </w:pPr>
      <w:r>
        <w:rPr>
          <w:b/>
        </w:rPr>
        <w:lastRenderedPageBreak/>
        <w:t>5</w:t>
      </w:r>
      <w:r w:rsidRPr="00846A98">
        <w:rPr>
          <w:b/>
        </w:rPr>
        <w:t>. C</w:t>
      </w:r>
      <w:r>
        <w:rPr>
          <w:b/>
        </w:rPr>
        <w:t>onclusions</w:t>
      </w:r>
    </w:p>
    <w:p w14:paraId="03A45D36" w14:textId="77777777" w:rsidR="00971A14" w:rsidRDefault="00971A14" w:rsidP="00E718D8">
      <w:pPr>
        <w:spacing w:line="276" w:lineRule="auto"/>
        <w:contextualSpacing/>
        <w:jc w:val="left"/>
        <w:rPr>
          <w:i/>
          <w:szCs w:val="22"/>
          <w:lang w:eastAsia="en-US"/>
        </w:rPr>
      </w:pPr>
    </w:p>
    <w:p w14:paraId="53988B8D" w14:textId="77777777" w:rsidR="00514D35" w:rsidRPr="009641FD" w:rsidRDefault="009641FD" w:rsidP="00E718D8">
      <w:pPr>
        <w:spacing w:line="276" w:lineRule="auto"/>
        <w:contextualSpacing/>
        <w:jc w:val="left"/>
        <w:rPr>
          <w:i/>
          <w:szCs w:val="22"/>
          <w:lang w:eastAsia="en-US"/>
        </w:rPr>
      </w:pPr>
      <w:r w:rsidRPr="009641FD">
        <w:rPr>
          <w:i/>
          <w:szCs w:val="22"/>
          <w:lang w:eastAsia="en-US"/>
        </w:rPr>
        <w:t xml:space="preserve">Summary </w:t>
      </w:r>
    </w:p>
    <w:p w14:paraId="1E2E7D23" w14:textId="77777777" w:rsidR="009A4728" w:rsidRDefault="009A4728" w:rsidP="00E718D8">
      <w:pPr>
        <w:spacing w:line="276" w:lineRule="auto"/>
        <w:contextualSpacing/>
        <w:jc w:val="left"/>
      </w:pPr>
    </w:p>
    <w:p w14:paraId="7883642E" w14:textId="6B5AD6AC" w:rsidR="005C46B1" w:rsidRDefault="009641FD" w:rsidP="00F32E99">
      <w:pPr>
        <w:ind w:left="720" w:hanging="720"/>
        <w:contextualSpacing/>
        <w:jc w:val="left"/>
        <w:rPr>
          <w:color w:val="808080" w:themeColor="background1" w:themeShade="80"/>
          <w:szCs w:val="22"/>
          <w:lang w:eastAsia="en-US"/>
        </w:rPr>
      </w:pPr>
      <w:r>
        <w:t xml:space="preserve">5.1 </w:t>
      </w:r>
      <w:r w:rsidR="00F32E99">
        <w:tab/>
      </w:r>
      <w:r w:rsidR="00CF13CE">
        <w:t xml:space="preserve">The </w:t>
      </w:r>
      <w:r w:rsidR="00B968C1">
        <w:t>Dartmouth Park</w:t>
      </w:r>
      <w:r w:rsidR="00CF13CE">
        <w:t xml:space="preserve"> Neighbourhood Plan has been duly prepared in compliance with the procedural requirements. </w:t>
      </w:r>
      <w:r w:rsidR="005C46B1" w:rsidRPr="00514D35">
        <w:rPr>
          <w:color w:val="808080" w:themeColor="background1" w:themeShade="80"/>
          <w:szCs w:val="22"/>
          <w:lang w:eastAsia="en-US"/>
        </w:rPr>
        <w:t xml:space="preserve"> </w:t>
      </w:r>
      <w:r w:rsidR="00CF13CE">
        <w:rPr>
          <w:szCs w:val="22"/>
          <w:lang w:eastAsia="en-US"/>
        </w:rPr>
        <w:t>My examinatio</w:t>
      </w:r>
      <w:r w:rsidR="00E718D8">
        <w:rPr>
          <w:szCs w:val="22"/>
          <w:lang w:eastAsia="en-US"/>
        </w:rPr>
        <w:t>n has investigated whether the P</w:t>
      </w:r>
      <w:r w:rsidR="00CF13CE">
        <w:rPr>
          <w:szCs w:val="22"/>
          <w:lang w:eastAsia="en-US"/>
        </w:rPr>
        <w:t xml:space="preserve">lan meets the Basic Conditions </w:t>
      </w:r>
      <w:r w:rsidR="0054410D">
        <w:rPr>
          <w:szCs w:val="22"/>
          <w:lang w:eastAsia="en-US"/>
        </w:rPr>
        <w:t xml:space="preserve">and other legal requirements </w:t>
      </w:r>
      <w:r w:rsidR="00CF13CE">
        <w:rPr>
          <w:szCs w:val="22"/>
          <w:lang w:eastAsia="en-US"/>
        </w:rPr>
        <w:t xml:space="preserve">for neighbourhood plans.  </w:t>
      </w:r>
      <w:r w:rsidR="00E55775">
        <w:rPr>
          <w:szCs w:val="22"/>
          <w:lang w:eastAsia="en-US"/>
        </w:rPr>
        <w:t xml:space="preserve">I have had regard for all the responses made following consultation on the </w:t>
      </w:r>
      <w:r w:rsidR="00334700">
        <w:rPr>
          <w:szCs w:val="22"/>
          <w:lang w:eastAsia="en-US"/>
        </w:rPr>
        <w:t>N</w:t>
      </w:r>
      <w:r w:rsidR="00E55775">
        <w:rPr>
          <w:szCs w:val="22"/>
          <w:lang w:eastAsia="en-US"/>
        </w:rPr>
        <w:t xml:space="preserve">eighbourhood </w:t>
      </w:r>
      <w:r w:rsidR="00334700">
        <w:rPr>
          <w:szCs w:val="22"/>
          <w:lang w:eastAsia="en-US"/>
        </w:rPr>
        <w:t>P</w:t>
      </w:r>
      <w:r w:rsidR="00E55775">
        <w:rPr>
          <w:szCs w:val="22"/>
          <w:lang w:eastAsia="en-US"/>
        </w:rPr>
        <w:t xml:space="preserve">lan, and the evidence documents submitted with it.  </w:t>
      </w:r>
      <w:r w:rsidR="005C46B1" w:rsidRPr="00514D35">
        <w:rPr>
          <w:color w:val="808080" w:themeColor="background1" w:themeShade="80"/>
          <w:szCs w:val="22"/>
          <w:lang w:eastAsia="en-US"/>
        </w:rPr>
        <w:t xml:space="preserve"> </w:t>
      </w:r>
    </w:p>
    <w:p w14:paraId="63A728F4" w14:textId="77777777" w:rsidR="009F685C" w:rsidRDefault="009F685C" w:rsidP="00917828">
      <w:pPr>
        <w:ind w:left="0" w:firstLine="0"/>
        <w:jc w:val="left"/>
      </w:pPr>
    </w:p>
    <w:p w14:paraId="1EDAF661" w14:textId="2504F8A3" w:rsidR="004F4901" w:rsidRDefault="00E55775" w:rsidP="00F32E99">
      <w:pPr>
        <w:ind w:left="720" w:hanging="720"/>
        <w:jc w:val="left"/>
      </w:pPr>
      <w:r>
        <w:t xml:space="preserve">5.2 </w:t>
      </w:r>
      <w:r w:rsidR="00F32E99">
        <w:tab/>
      </w:r>
      <w:r w:rsidR="004F4901" w:rsidRPr="00846A98">
        <w:t xml:space="preserve">I have made recommendations to modify a number of policies and text to ensure the </w:t>
      </w:r>
      <w:r w:rsidR="00E718D8">
        <w:t>P</w:t>
      </w:r>
      <w:r w:rsidR="004F4901" w:rsidRPr="00846A98">
        <w:t xml:space="preserve">lan meets </w:t>
      </w:r>
      <w:r w:rsidR="0054410D">
        <w:t xml:space="preserve">the </w:t>
      </w:r>
      <w:r w:rsidR="00473037">
        <w:t>Basic Conditions</w:t>
      </w:r>
      <w:r w:rsidR="0054410D">
        <w:t xml:space="preserve"> and other legal requirements</w:t>
      </w:r>
      <w:r w:rsidR="004F4901" w:rsidRPr="00846A98">
        <w:t>. I r</w:t>
      </w:r>
      <w:r w:rsidR="004F4901">
        <w:t xml:space="preserve">ecommend that the </w:t>
      </w:r>
      <w:r w:rsidR="00E718D8">
        <w:t>P</w:t>
      </w:r>
      <w:r w:rsidR="004F4901">
        <w:t xml:space="preserve">lan, once modified, proceeds to referendum. </w:t>
      </w:r>
    </w:p>
    <w:p w14:paraId="512AA3A1" w14:textId="511EC256" w:rsidR="004F4901" w:rsidRDefault="004F4901" w:rsidP="004F4901">
      <w:pPr>
        <w:spacing w:line="259" w:lineRule="auto"/>
        <w:ind w:left="0" w:firstLine="0"/>
        <w:jc w:val="left"/>
      </w:pPr>
    </w:p>
    <w:p w14:paraId="6BD440C3" w14:textId="15AACA4E" w:rsidR="005C46B1" w:rsidRDefault="005C46B1" w:rsidP="00DA0078">
      <w:pPr>
        <w:spacing w:line="259" w:lineRule="auto"/>
        <w:ind w:left="0" w:firstLine="0"/>
        <w:jc w:val="left"/>
        <w:rPr>
          <w:i/>
        </w:rPr>
      </w:pPr>
      <w:r w:rsidRPr="005C46B1">
        <w:rPr>
          <w:i/>
        </w:rPr>
        <w:t>The Referendum and its Area</w:t>
      </w:r>
    </w:p>
    <w:p w14:paraId="541FDFE3" w14:textId="77777777" w:rsidR="00DA0078" w:rsidRPr="005C46B1" w:rsidRDefault="00DA0078" w:rsidP="00DA0078">
      <w:pPr>
        <w:spacing w:line="259" w:lineRule="auto"/>
        <w:ind w:left="0" w:firstLine="0"/>
        <w:jc w:val="left"/>
        <w:rPr>
          <w:i/>
        </w:rPr>
      </w:pPr>
    </w:p>
    <w:p w14:paraId="63C0588F" w14:textId="676D9BD1" w:rsidR="00FF1917" w:rsidRDefault="004F4901" w:rsidP="00F32E99">
      <w:pPr>
        <w:ind w:left="720" w:hanging="720"/>
        <w:jc w:val="left"/>
      </w:pPr>
      <w:r>
        <w:t>5.</w:t>
      </w:r>
      <w:r w:rsidR="009641FD">
        <w:t>3</w:t>
      </w:r>
      <w:r>
        <w:t xml:space="preserve"> </w:t>
      </w:r>
      <w:r w:rsidR="00F32E99">
        <w:tab/>
      </w:r>
      <w:r>
        <w:t>I have considered whether or not the referendum area should be extended beyond th</w:t>
      </w:r>
      <w:r w:rsidR="00E718D8">
        <w:t>e designated area to which the P</w:t>
      </w:r>
      <w:r>
        <w:t xml:space="preserve">lan relates. </w:t>
      </w:r>
      <w:r w:rsidR="000905B2">
        <w:t>However, t</w:t>
      </w:r>
      <w:r w:rsidR="000905B2" w:rsidRPr="000905B2">
        <w:t xml:space="preserve">he </w:t>
      </w:r>
      <w:r w:rsidR="000905B2">
        <w:t>DPNP,</w:t>
      </w:r>
      <w:r w:rsidR="000905B2" w:rsidRPr="000905B2">
        <w:t xml:space="preserve"> as modified</w:t>
      </w:r>
      <w:r w:rsidR="000905B2">
        <w:t>,</w:t>
      </w:r>
      <w:r w:rsidR="000905B2" w:rsidRPr="000905B2">
        <w:t xml:space="preserve"> has no policy or proposals which I consider significant enough to have an impact beyond the designated </w:t>
      </w:r>
      <w:r w:rsidR="00334700">
        <w:t>N</w:t>
      </w:r>
      <w:r w:rsidR="000905B2" w:rsidRPr="000905B2">
        <w:t xml:space="preserve">eighbourhood </w:t>
      </w:r>
      <w:r w:rsidR="00334700">
        <w:t>P</w:t>
      </w:r>
      <w:r w:rsidR="000905B2" w:rsidRPr="000905B2">
        <w:t xml:space="preserve">lan boundary, requiring the referendum to extend to areas beyond the </w:t>
      </w:r>
      <w:r w:rsidR="00334700">
        <w:t>P</w:t>
      </w:r>
      <w:r w:rsidR="000905B2" w:rsidRPr="000905B2">
        <w:t>lan boundary. I recommend that the boundary for the purposes o</w:t>
      </w:r>
      <w:r w:rsidR="005853F4">
        <w:t>f any future referendum on the P</w:t>
      </w:r>
      <w:r w:rsidR="000905B2" w:rsidRPr="000905B2">
        <w:t xml:space="preserve">lan should be </w:t>
      </w:r>
      <w:r w:rsidR="001F3543">
        <w:t>the boundary of the designated Neighbourhood Plan A</w:t>
      </w:r>
      <w:r w:rsidR="000905B2" w:rsidRPr="000905B2">
        <w:t>rea.</w:t>
      </w:r>
    </w:p>
    <w:p w14:paraId="2B854DE4" w14:textId="3409F32E" w:rsidR="00F310B9" w:rsidRDefault="00F310B9" w:rsidP="000905B2">
      <w:pPr>
        <w:ind w:firstLine="0"/>
        <w:jc w:val="left"/>
      </w:pPr>
    </w:p>
    <w:p w14:paraId="7CC2ECE5" w14:textId="1E16A6C5" w:rsidR="00F310B9" w:rsidRPr="00F310B9" w:rsidRDefault="00F310B9" w:rsidP="00F310B9">
      <w:pPr>
        <w:ind w:left="0" w:firstLine="0"/>
        <w:jc w:val="left"/>
        <w:rPr>
          <w:i/>
        </w:rPr>
      </w:pPr>
      <w:r w:rsidRPr="00F310B9">
        <w:rPr>
          <w:i/>
        </w:rPr>
        <w:t>Overview</w:t>
      </w:r>
    </w:p>
    <w:p w14:paraId="562F814D" w14:textId="77777777" w:rsidR="009A4728" w:rsidRDefault="009A4728" w:rsidP="00917828">
      <w:pPr>
        <w:jc w:val="left"/>
      </w:pPr>
    </w:p>
    <w:p w14:paraId="77805C02" w14:textId="5ABD3918" w:rsidR="009A4728" w:rsidRDefault="0043181A" w:rsidP="00F32E99">
      <w:pPr>
        <w:ind w:left="720" w:hanging="720"/>
        <w:jc w:val="left"/>
      </w:pPr>
      <w:r>
        <w:t xml:space="preserve">5.4 </w:t>
      </w:r>
      <w:r w:rsidR="00F32E99">
        <w:tab/>
      </w:r>
      <w:r w:rsidR="000905B2">
        <w:t>It is clear that there has been significant community involvement in the preparation of the DPNP. I was particularly heartened to see that a ‘community walkabout</w:t>
      </w:r>
      <w:r w:rsidR="00F310B9">
        <w:t>’ was arranged early on in the process, that local schools have been encouraged to participate and that a wide range of opportunities to engage the community have been taken, for example at street parties and local fairs. I sense that a good level of momentum has been achieved and this should be nurtured</w:t>
      </w:r>
      <w:r w:rsidR="00390553">
        <w:t xml:space="preserve"> by the DPNF</w:t>
      </w:r>
      <w:r w:rsidR="00F310B9">
        <w:t>. In terms of the DPNP itself it is generally a well</w:t>
      </w:r>
      <w:r w:rsidR="002B7C27">
        <w:t>-</w:t>
      </w:r>
      <w:r w:rsidR="00F310B9">
        <w:t xml:space="preserve">presented document which, if made, will become an important element in the planning policy framework for the area. </w:t>
      </w:r>
    </w:p>
    <w:p w14:paraId="1D5CDBF5" w14:textId="77777777" w:rsidR="00390553" w:rsidRDefault="00390553" w:rsidP="00917828">
      <w:pPr>
        <w:jc w:val="left"/>
      </w:pPr>
    </w:p>
    <w:p w14:paraId="067F8186" w14:textId="77777777" w:rsidR="0043181A" w:rsidRDefault="0043181A" w:rsidP="00E55775">
      <w:pPr>
        <w:spacing w:line="259" w:lineRule="auto"/>
        <w:jc w:val="left"/>
      </w:pPr>
    </w:p>
    <w:p w14:paraId="1256AE4B" w14:textId="3B5598E1" w:rsidR="009A4728" w:rsidRPr="00941067" w:rsidRDefault="002B7C27" w:rsidP="00E55775">
      <w:pPr>
        <w:spacing w:line="259" w:lineRule="auto"/>
        <w:jc w:val="left"/>
        <w:rPr>
          <w:rFonts w:ascii="Viner Hand ITC" w:hAnsi="Viner Hand ITC"/>
          <w:i/>
          <w:sz w:val="32"/>
          <w:szCs w:val="32"/>
        </w:rPr>
      </w:pPr>
      <w:r w:rsidRPr="00941067">
        <w:rPr>
          <w:rFonts w:ascii="Viner Hand ITC" w:hAnsi="Viner Hand ITC"/>
          <w:i/>
          <w:sz w:val="32"/>
          <w:szCs w:val="32"/>
        </w:rPr>
        <w:t>David Hogger</w:t>
      </w:r>
    </w:p>
    <w:p w14:paraId="4376B596" w14:textId="77777777" w:rsidR="0043181A" w:rsidRDefault="0043181A" w:rsidP="00E55775">
      <w:pPr>
        <w:spacing w:line="259" w:lineRule="auto"/>
        <w:jc w:val="left"/>
      </w:pPr>
    </w:p>
    <w:p w14:paraId="22692693" w14:textId="080503FD" w:rsidR="009A4728" w:rsidRPr="009A4728" w:rsidRDefault="009A4728" w:rsidP="00E55775">
      <w:pPr>
        <w:spacing w:line="259" w:lineRule="auto"/>
        <w:jc w:val="left"/>
      </w:pPr>
      <w:r w:rsidRPr="009A4728">
        <w:t>Examiner</w:t>
      </w:r>
    </w:p>
    <w:p w14:paraId="2074B559" w14:textId="5F93DA4D" w:rsidR="00A67E7B" w:rsidRPr="009F2A60" w:rsidRDefault="00855C44" w:rsidP="009F2A60">
      <w:pPr>
        <w:spacing w:line="259" w:lineRule="auto"/>
        <w:jc w:val="left"/>
      </w:pPr>
      <w:r>
        <w:br w:type="page"/>
      </w:r>
      <w:r w:rsidR="00A67E7B" w:rsidRPr="0056421B">
        <w:rPr>
          <w:b/>
        </w:rPr>
        <w:lastRenderedPageBreak/>
        <w:t>A</w:t>
      </w:r>
      <w:r w:rsidR="003C5B31">
        <w:rPr>
          <w:b/>
        </w:rPr>
        <w:t>pp</w:t>
      </w:r>
      <w:r w:rsidR="00A67E7B" w:rsidRPr="0056421B">
        <w:rPr>
          <w:b/>
        </w:rPr>
        <w:t>e</w:t>
      </w:r>
      <w:r w:rsidR="003C5B31">
        <w:rPr>
          <w:b/>
        </w:rPr>
        <w:t>ndi</w:t>
      </w:r>
      <w:r w:rsidR="00AE0094">
        <w:rPr>
          <w:b/>
        </w:rPr>
        <w:t>x</w:t>
      </w:r>
      <w:r w:rsidR="0023667C" w:rsidRPr="0056421B">
        <w:rPr>
          <w:b/>
        </w:rPr>
        <w:t>:</w:t>
      </w:r>
      <w:r w:rsidR="00A67E7B" w:rsidRPr="0056421B">
        <w:rPr>
          <w:b/>
        </w:rPr>
        <w:t xml:space="preserve"> Modifications</w:t>
      </w:r>
    </w:p>
    <w:p w14:paraId="663BA18B" w14:textId="23C633A6" w:rsidR="00553604" w:rsidRDefault="00553604">
      <w:pPr>
        <w:rPr>
          <w:b/>
        </w:rPr>
      </w:pPr>
    </w:p>
    <w:tbl>
      <w:tblPr>
        <w:tblStyle w:val="TableGrid"/>
        <w:tblW w:w="0" w:type="auto"/>
        <w:tblInd w:w="432" w:type="dxa"/>
        <w:tblLook w:val="04A0" w:firstRow="1" w:lastRow="0" w:firstColumn="1" w:lastColumn="0" w:noHBand="0" w:noVBand="1"/>
      </w:tblPr>
      <w:tblGrid>
        <w:gridCol w:w="2011"/>
        <w:gridCol w:w="1755"/>
        <w:gridCol w:w="4818"/>
      </w:tblGrid>
      <w:tr w:rsidR="004614DE" w:rsidRPr="003C5B31" w14:paraId="06E417BD" w14:textId="77777777" w:rsidTr="003C5B31">
        <w:tc>
          <w:tcPr>
            <w:tcW w:w="0" w:type="auto"/>
          </w:tcPr>
          <w:p w14:paraId="051FAC00" w14:textId="77777777" w:rsidR="003C5B31" w:rsidRPr="003C5B31" w:rsidRDefault="003C5B31" w:rsidP="00D249AC">
            <w:pPr>
              <w:spacing w:after="160" w:line="259" w:lineRule="auto"/>
              <w:ind w:left="0" w:firstLine="0"/>
              <w:jc w:val="left"/>
              <w:rPr>
                <w:b/>
              </w:rPr>
            </w:pPr>
            <w:r w:rsidRPr="003C5B31">
              <w:rPr>
                <w:b/>
              </w:rPr>
              <w:t>Proposed modification</w:t>
            </w:r>
            <w:r w:rsidR="00C76D91">
              <w:rPr>
                <w:b/>
              </w:rPr>
              <w:t xml:space="preserve"> number</w:t>
            </w:r>
            <w:r w:rsidRPr="003C5B31">
              <w:rPr>
                <w:b/>
              </w:rPr>
              <w:t xml:space="preserve"> (PM)</w:t>
            </w:r>
          </w:p>
        </w:tc>
        <w:tc>
          <w:tcPr>
            <w:tcW w:w="0" w:type="auto"/>
          </w:tcPr>
          <w:p w14:paraId="2B162476" w14:textId="77777777" w:rsidR="003C5B31" w:rsidRPr="003C5B31" w:rsidRDefault="003C5B31" w:rsidP="00D249AC">
            <w:pPr>
              <w:spacing w:after="160" w:line="259" w:lineRule="auto"/>
              <w:ind w:left="0" w:firstLine="0"/>
              <w:jc w:val="left"/>
              <w:rPr>
                <w:b/>
              </w:rPr>
            </w:pPr>
            <w:r w:rsidRPr="003C5B31">
              <w:rPr>
                <w:b/>
              </w:rPr>
              <w:t>Page no./ other reference</w:t>
            </w:r>
          </w:p>
        </w:tc>
        <w:tc>
          <w:tcPr>
            <w:tcW w:w="0" w:type="auto"/>
          </w:tcPr>
          <w:p w14:paraId="0B81A002" w14:textId="77777777" w:rsidR="003C5B31" w:rsidRPr="003C5B31" w:rsidRDefault="003C5B31" w:rsidP="00D249AC">
            <w:pPr>
              <w:spacing w:after="160" w:line="259" w:lineRule="auto"/>
              <w:ind w:left="0" w:firstLine="0"/>
              <w:jc w:val="left"/>
              <w:rPr>
                <w:b/>
              </w:rPr>
            </w:pPr>
            <w:r w:rsidRPr="003C5B31">
              <w:rPr>
                <w:b/>
              </w:rPr>
              <w:t>Modification</w:t>
            </w:r>
          </w:p>
        </w:tc>
      </w:tr>
      <w:tr w:rsidR="00B049B4" w14:paraId="346DE3B8" w14:textId="77777777" w:rsidTr="007E5090">
        <w:trPr>
          <w:trHeight w:val="1387"/>
        </w:trPr>
        <w:tc>
          <w:tcPr>
            <w:tcW w:w="0" w:type="auto"/>
          </w:tcPr>
          <w:p w14:paraId="1CEAD31E" w14:textId="2B1AF974" w:rsidR="00B049B4" w:rsidRDefault="00B049B4" w:rsidP="00D249AC">
            <w:pPr>
              <w:spacing w:after="160" w:line="259" w:lineRule="auto"/>
              <w:ind w:left="0" w:firstLine="0"/>
              <w:jc w:val="left"/>
            </w:pPr>
            <w:r>
              <w:t>PM</w:t>
            </w:r>
            <w:r w:rsidR="00390553">
              <w:t>1</w:t>
            </w:r>
          </w:p>
        </w:tc>
        <w:tc>
          <w:tcPr>
            <w:tcW w:w="0" w:type="auto"/>
          </w:tcPr>
          <w:p w14:paraId="6E42CECA" w14:textId="77777777" w:rsidR="00337C4F" w:rsidRDefault="00337C4F" w:rsidP="00337C4F">
            <w:pPr>
              <w:spacing w:after="160" w:line="259" w:lineRule="auto"/>
              <w:ind w:left="0" w:firstLine="0"/>
              <w:jc w:val="left"/>
            </w:pPr>
            <w:r>
              <w:t>Third paragraph, last sentence</w:t>
            </w:r>
          </w:p>
          <w:p w14:paraId="77B1DA6C" w14:textId="3D391C9A" w:rsidR="00B049B4" w:rsidRDefault="00337C4F" w:rsidP="00337C4F">
            <w:pPr>
              <w:spacing w:after="160" w:line="259" w:lineRule="auto"/>
              <w:ind w:left="0" w:firstLine="0"/>
              <w:jc w:val="left"/>
            </w:pPr>
            <w:r>
              <w:t xml:space="preserve">Page 9 </w:t>
            </w:r>
          </w:p>
        </w:tc>
        <w:tc>
          <w:tcPr>
            <w:tcW w:w="0" w:type="auto"/>
          </w:tcPr>
          <w:p w14:paraId="7D1547BC" w14:textId="11AF07AD" w:rsidR="00B049B4" w:rsidRPr="00A850CC" w:rsidRDefault="00337C4F" w:rsidP="007E5090">
            <w:pPr>
              <w:spacing w:after="160" w:line="259" w:lineRule="auto"/>
              <w:jc w:val="left"/>
            </w:pPr>
            <w:r>
              <w:t xml:space="preserve">Replace </w:t>
            </w:r>
            <w:r w:rsidRPr="00AC1BA1">
              <w:rPr>
                <w:strike/>
              </w:rPr>
              <w:t>very</w:t>
            </w:r>
            <w:r>
              <w:t xml:space="preserve"> with </w:t>
            </w:r>
            <w:r w:rsidRPr="00AC1BA1">
              <w:rPr>
                <w:b/>
                <w:bCs/>
              </w:rPr>
              <w:t>more</w:t>
            </w:r>
            <w:r w:rsidR="00D039BC" w:rsidRPr="00D039BC">
              <w:t>.</w:t>
            </w:r>
            <w:r w:rsidRPr="00D039BC">
              <w:t xml:space="preserve"> </w:t>
            </w:r>
            <w:r>
              <w:t xml:space="preserve"> </w:t>
            </w:r>
          </w:p>
        </w:tc>
      </w:tr>
      <w:tr w:rsidR="00B049B4" w14:paraId="55B75545" w14:textId="77777777" w:rsidTr="003C5B31">
        <w:trPr>
          <w:trHeight w:val="1747"/>
        </w:trPr>
        <w:tc>
          <w:tcPr>
            <w:tcW w:w="0" w:type="auto"/>
          </w:tcPr>
          <w:p w14:paraId="121C7190" w14:textId="15BF64D8" w:rsidR="00B049B4" w:rsidRDefault="00B049B4" w:rsidP="00D249AC">
            <w:pPr>
              <w:spacing w:after="160" w:line="259" w:lineRule="auto"/>
              <w:ind w:left="0" w:firstLine="0"/>
              <w:jc w:val="left"/>
            </w:pPr>
            <w:r>
              <w:t>PM</w:t>
            </w:r>
            <w:r w:rsidR="00390553">
              <w:t>2</w:t>
            </w:r>
          </w:p>
        </w:tc>
        <w:tc>
          <w:tcPr>
            <w:tcW w:w="0" w:type="auto"/>
          </w:tcPr>
          <w:p w14:paraId="683D50D1" w14:textId="530B01F5" w:rsidR="00B049B4" w:rsidRDefault="00337C4F" w:rsidP="00D249AC">
            <w:pPr>
              <w:spacing w:after="160" w:line="259" w:lineRule="auto"/>
              <w:ind w:left="0" w:firstLine="0"/>
              <w:jc w:val="left"/>
            </w:pPr>
            <w:r>
              <w:t>Page 10</w:t>
            </w:r>
          </w:p>
        </w:tc>
        <w:tc>
          <w:tcPr>
            <w:tcW w:w="0" w:type="auto"/>
          </w:tcPr>
          <w:p w14:paraId="209F889C" w14:textId="77777777" w:rsidR="00337C4F" w:rsidRDefault="00337C4F" w:rsidP="002C72B5">
            <w:pPr>
              <w:spacing w:after="160" w:line="259" w:lineRule="auto"/>
              <w:ind w:left="24" w:hanging="24"/>
              <w:jc w:val="left"/>
            </w:pPr>
            <w:r>
              <w:t>Amend the fourth bullet point under section 2.2 to read:</w:t>
            </w:r>
          </w:p>
          <w:p w14:paraId="135241E9" w14:textId="02C630B9" w:rsidR="00B049B4" w:rsidRDefault="00337C4F" w:rsidP="002C72B5">
            <w:pPr>
              <w:spacing w:after="160" w:line="259" w:lineRule="auto"/>
              <w:ind w:left="24" w:hanging="24"/>
              <w:jc w:val="left"/>
            </w:pPr>
            <w:r>
              <w:t xml:space="preserve">Improving the quality of local roads and streets as walking, </w:t>
            </w:r>
            <w:r w:rsidRPr="00A850CC">
              <w:rPr>
                <w:strike/>
              </w:rPr>
              <w:t>and</w:t>
            </w:r>
            <w:r>
              <w:rPr>
                <w:strike/>
              </w:rPr>
              <w:t xml:space="preserve"> </w:t>
            </w:r>
            <w:r>
              <w:t xml:space="preserve">cycling </w:t>
            </w:r>
            <w:r w:rsidRPr="00A850CC">
              <w:rPr>
                <w:b/>
                <w:bCs/>
              </w:rPr>
              <w:t>and public transport</w:t>
            </w:r>
            <w:r>
              <w:t xml:space="preserve"> routes, while mitigating the </w:t>
            </w:r>
            <w:r w:rsidRPr="00A850CC">
              <w:rPr>
                <w:strike/>
              </w:rPr>
              <w:t>transport and</w:t>
            </w:r>
            <w:r>
              <w:t xml:space="preserve"> environmental </w:t>
            </w:r>
            <w:r w:rsidRPr="00A850CC">
              <w:rPr>
                <w:strike/>
              </w:rPr>
              <w:t>effects</w:t>
            </w:r>
            <w:r>
              <w:t xml:space="preserve"> </w:t>
            </w:r>
            <w:r w:rsidRPr="00326DF0">
              <w:rPr>
                <w:b/>
                <w:bCs/>
              </w:rPr>
              <w:t>consequences of development</w:t>
            </w:r>
            <w:r w:rsidR="00326DF0">
              <w:t xml:space="preserve"> </w:t>
            </w:r>
            <w:r w:rsidR="00326DF0" w:rsidRPr="00326DF0">
              <w:rPr>
                <w:b/>
                <w:bCs/>
              </w:rPr>
              <w:t>and movement</w:t>
            </w:r>
            <w:r>
              <w:t xml:space="preserve"> a</w:t>
            </w:r>
            <w:r w:rsidRPr="00A850CC">
              <w:rPr>
                <w:b/>
                <w:bCs/>
              </w:rPr>
              <w:t>t</w:t>
            </w:r>
            <w:r>
              <w:t xml:space="preserve"> location</w:t>
            </w:r>
            <w:r w:rsidRPr="00A850CC">
              <w:rPr>
                <w:b/>
                <w:bCs/>
              </w:rPr>
              <w:t>s</w:t>
            </w:r>
            <w:r>
              <w:t xml:space="preserve"> on key routes into Central London and on </w:t>
            </w:r>
            <w:r w:rsidRPr="00A850CC">
              <w:rPr>
                <w:strike/>
              </w:rPr>
              <w:t>a</w:t>
            </w:r>
            <w:r>
              <w:t xml:space="preserve"> </w:t>
            </w:r>
            <w:r w:rsidRPr="00A850CC">
              <w:rPr>
                <w:b/>
                <w:bCs/>
              </w:rPr>
              <w:t>the</w:t>
            </w:r>
            <w:r>
              <w:t xml:space="preserve"> busy east-west route (which includes Chetwynd Road)</w:t>
            </w:r>
            <w:r w:rsidR="00D039BC">
              <w:t>.</w:t>
            </w:r>
          </w:p>
        </w:tc>
      </w:tr>
      <w:tr w:rsidR="004614DE" w14:paraId="0A23D4BB" w14:textId="77777777" w:rsidTr="003C5B31">
        <w:tc>
          <w:tcPr>
            <w:tcW w:w="0" w:type="auto"/>
          </w:tcPr>
          <w:p w14:paraId="76C5DD63" w14:textId="292C4886" w:rsidR="003C5B31" w:rsidRDefault="003C5B31" w:rsidP="00D249AC">
            <w:pPr>
              <w:spacing w:after="160" w:line="259" w:lineRule="auto"/>
              <w:ind w:left="0" w:firstLine="0"/>
              <w:jc w:val="left"/>
            </w:pPr>
            <w:r>
              <w:t>PM</w:t>
            </w:r>
            <w:r w:rsidR="00390553">
              <w:t>3</w:t>
            </w:r>
          </w:p>
        </w:tc>
        <w:tc>
          <w:tcPr>
            <w:tcW w:w="0" w:type="auto"/>
          </w:tcPr>
          <w:p w14:paraId="4E9F9597" w14:textId="065C4C6B" w:rsidR="00A850CC" w:rsidRDefault="00A850CC" w:rsidP="00D249AC">
            <w:pPr>
              <w:spacing w:after="160" w:line="259" w:lineRule="auto"/>
              <w:ind w:left="0" w:firstLine="0"/>
              <w:jc w:val="left"/>
            </w:pPr>
            <w:r>
              <w:t>Policy DC1(b)</w:t>
            </w:r>
          </w:p>
          <w:p w14:paraId="675A3A2A" w14:textId="60872218" w:rsidR="005F1BAA" w:rsidRDefault="003C5B31" w:rsidP="00D249AC">
            <w:pPr>
              <w:spacing w:after="160" w:line="259" w:lineRule="auto"/>
              <w:ind w:left="0" w:firstLine="0"/>
              <w:jc w:val="left"/>
            </w:pPr>
            <w:r>
              <w:t xml:space="preserve">Page </w:t>
            </w:r>
            <w:r w:rsidR="00A850CC">
              <w:t>20</w:t>
            </w:r>
          </w:p>
          <w:p w14:paraId="3B33D433" w14:textId="4E608E6E" w:rsidR="000C3F15" w:rsidRDefault="000C3F15" w:rsidP="00D249AC">
            <w:pPr>
              <w:spacing w:after="160" w:line="259" w:lineRule="auto"/>
              <w:ind w:left="0" w:firstLine="0"/>
              <w:jc w:val="left"/>
            </w:pPr>
          </w:p>
          <w:p w14:paraId="1FCB0D1D" w14:textId="18F9407D" w:rsidR="003C5B31" w:rsidRDefault="000C3F15" w:rsidP="00D249AC">
            <w:pPr>
              <w:spacing w:after="160" w:line="259" w:lineRule="auto"/>
              <w:ind w:left="0" w:firstLine="0"/>
              <w:jc w:val="left"/>
            </w:pPr>
            <w:r>
              <w:t>First sentenc</w:t>
            </w:r>
            <w:r w:rsidR="002C72B5">
              <w:t>e in first paragraph on page 21</w:t>
            </w:r>
          </w:p>
        </w:tc>
        <w:tc>
          <w:tcPr>
            <w:tcW w:w="0" w:type="auto"/>
          </w:tcPr>
          <w:p w14:paraId="4496B6CD" w14:textId="7D4E72C9" w:rsidR="003C5B31" w:rsidRPr="00334700" w:rsidRDefault="00A850CC" w:rsidP="007E07B1">
            <w:pPr>
              <w:spacing w:after="160" w:line="259" w:lineRule="auto"/>
              <w:ind w:left="0" w:firstLine="0"/>
              <w:jc w:val="left"/>
              <w:rPr>
                <w:bCs/>
              </w:rPr>
            </w:pPr>
            <w:r w:rsidRPr="00A850CC">
              <w:rPr>
                <w:bCs/>
              </w:rPr>
              <w:t xml:space="preserve">Delete </w:t>
            </w:r>
            <w:r w:rsidRPr="00A850CC">
              <w:rPr>
                <w:bCs/>
                <w:strike/>
              </w:rPr>
              <w:t>semi-rural character</w:t>
            </w:r>
            <w:r w:rsidRPr="00A850CC">
              <w:rPr>
                <w:bCs/>
              </w:rPr>
              <w:t xml:space="preserve"> and replace</w:t>
            </w:r>
            <w:r w:rsidR="000C3F15">
              <w:rPr>
                <w:bCs/>
              </w:rPr>
              <w:t xml:space="preserve"> with</w:t>
            </w:r>
            <w:r w:rsidR="009A7CA8">
              <w:rPr>
                <w:bCs/>
              </w:rPr>
              <w:t>:</w:t>
            </w:r>
            <w:r w:rsidR="000C3F15">
              <w:rPr>
                <w:bCs/>
              </w:rPr>
              <w:t xml:space="preserve"> </w:t>
            </w:r>
            <w:r w:rsidR="009A7CA8" w:rsidRPr="009A7CA8">
              <w:rPr>
                <w:b/>
              </w:rPr>
              <w:t>character of the</w:t>
            </w:r>
            <w:r w:rsidR="009A7CA8">
              <w:rPr>
                <w:bCs/>
              </w:rPr>
              <w:t xml:space="preserve"> </w:t>
            </w:r>
            <w:r w:rsidR="000C3F15" w:rsidRPr="000C3F15">
              <w:rPr>
                <w:b/>
              </w:rPr>
              <w:t>attractive well-developed suburban area</w:t>
            </w:r>
            <w:r w:rsidR="00334700">
              <w:rPr>
                <w:bCs/>
              </w:rPr>
              <w:t>.</w:t>
            </w:r>
          </w:p>
          <w:p w14:paraId="3E35D568" w14:textId="77777777" w:rsidR="00D039BC" w:rsidRDefault="00D039BC" w:rsidP="00D039BC">
            <w:pPr>
              <w:spacing w:before="320" w:after="160" w:line="259" w:lineRule="auto"/>
              <w:ind w:left="0" w:firstLine="0"/>
              <w:jc w:val="left"/>
              <w:rPr>
                <w:bCs/>
              </w:rPr>
            </w:pPr>
          </w:p>
          <w:p w14:paraId="4BC2C59C" w14:textId="7E4340F9" w:rsidR="000C3F15" w:rsidRPr="00A850CC" w:rsidRDefault="000C3F15" w:rsidP="007E5090">
            <w:pPr>
              <w:spacing w:after="160" w:line="259" w:lineRule="auto"/>
              <w:ind w:left="0" w:firstLine="0"/>
              <w:jc w:val="left"/>
              <w:rPr>
                <w:bCs/>
              </w:rPr>
            </w:pPr>
            <w:r>
              <w:rPr>
                <w:bCs/>
              </w:rPr>
              <w:t xml:space="preserve">Delete </w:t>
            </w:r>
            <w:r w:rsidRPr="000C3F15">
              <w:rPr>
                <w:bCs/>
                <w:strike/>
              </w:rPr>
              <w:t>semi-rural</w:t>
            </w:r>
            <w:r>
              <w:rPr>
                <w:bCs/>
              </w:rPr>
              <w:t xml:space="preserve"> and replace it with</w:t>
            </w:r>
            <w:r w:rsidR="002A19E9">
              <w:rPr>
                <w:bCs/>
              </w:rPr>
              <w:t>:  enhance the</w:t>
            </w:r>
            <w:r>
              <w:rPr>
                <w:bCs/>
              </w:rPr>
              <w:t xml:space="preserve"> </w:t>
            </w:r>
            <w:r w:rsidRPr="000C3F15">
              <w:rPr>
                <w:b/>
              </w:rPr>
              <w:t>attractive suburban</w:t>
            </w:r>
            <w:r w:rsidR="002A19E9">
              <w:rPr>
                <w:b/>
              </w:rPr>
              <w:t xml:space="preserve"> </w:t>
            </w:r>
            <w:r w:rsidR="002A19E9" w:rsidRPr="002A19E9">
              <w:rPr>
                <w:bCs/>
              </w:rPr>
              <w:t>nature that …</w:t>
            </w:r>
            <w:r w:rsidR="00334700" w:rsidRPr="002A19E9">
              <w:rPr>
                <w:bCs/>
              </w:rPr>
              <w:t>.</w:t>
            </w:r>
          </w:p>
        </w:tc>
      </w:tr>
      <w:tr w:rsidR="004614DE" w14:paraId="7796A408" w14:textId="77777777" w:rsidTr="004977A0">
        <w:trPr>
          <w:trHeight w:val="45"/>
        </w:trPr>
        <w:tc>
          <w:tcPr>
            <w:tcW w:w="0" w:type="auto"/>
          </w:tcPr>
          <w:p w14:paraId="1BA4C25B" w14:textId="3A1E6F52" w:rsidR="004977A0" w:rsidRDefault="004977A0" w:rsidP="00D249AC">
            <w:pPr>
              <w:spacing w:after="160" w:line="259" w:lineRule="auto"/>
              <w:ind w:left="0" w:firstLine="0"/>
              <w:jc w:val="left"/>
            </w:pPr>
            <w:r>
              <w:t>PM</w:t>
            </w:r>
            <w:r w:rsidR="00390553">
              <w:t>4</w:t>
            </w:r>
          </w:p>
        </w:tc>
        <w:tc>
          <w:tcPr>
            <w:tcW w:w="0" w:type="auto"/>
          </w:tcPr>
          <w:p w14:paraId="248A736F" w14:textId="419B13A8" w:rsidR="004977A0" w:rsidRDefault="000C3F15" w:rsidP="00D249AC">
            <w:pPr>
              <w:spacing w:after="160" w:line="259" w:lineRule="auto"/>
              <w:ind w:left="0" w:firstLine="0"/>
              <w:jc w:val="left"/>
            </w:pPr>
            <w:r>
              <w:t>Policy DC1 (b)(i)</w:t>
            </w:r>
          </w:p>
          <w:p w14:paraId="1AC0EE49" w14:textId="6DEBDF60" w:rsidR="000C3F15" w:rsidRDefault="000C3F15" w:rsidP="00D249AC">
            <w:pPr>
              <w:spacing w:after="160" w:line="259" w:lineRule="auto"/>
              <w:ind w:left="0" w:firstLine="0"/>
              <w:jc w:val="left"/>
            </w:pPr>
            <w:r>
              <w:t>Page 20</w:t>
            </w:r>
          </w:p>
        </w:tc>
        <w:tc>
          <w:tcPr>
            <w:tcW w:w="0" w:type="auto"/>
          </w:tcPr>
          <w:p w14:paraId="76821619" w14:textId="23B48DE6" w:rsidR="004977A0" w:rsidRPr="00334700" w:rsidRDefault="000C3F15" w:rsidP="00E0560F">
            <w:pPr>
              <w:spacing w:after="160" w:line="259" w:lineRule="auto"/>
              <w:jc w:val="left"/>
            </w:pPr>
            <w:r>
              <w:t xml:space="preserve">Delete </w:t>
            </w:r>
            <w:r w:rsidRPr="000C3F15">
              <w:rPr>
                <w:strike/>
              </w:rPr>
              <w:t>or</w:t>
            </w:r>
            <w:r>
              <w:t xml:space="preserve"> and replace with </w:t>
            </w:r>
            <w:r w:rsidRPr="000C3F15">
              <w:rPr>
                <w:b/>
                <w:bCs/>
              </w:rPr>
              <w:t>and</w:t>
            </w:r>
            <w:r>
              <w:rPr>
                <w:b/>
                <w:bCs/>
              </w:rPr>
              <w:t xml:space="preserve"> other</w:t>
            </w:r>
            <w:r w:rsidR="00334700">
              <w:t>.</w:t>
            </w:r>
          </w:p>
        </w:tc>
      </w:tr>
      <w:tr w:rsidR="004614DE" w14:paraId="4DCEA7F4" w14:textId="77777777" w:rsidTr="003C5B31">
        <w:trPr>
          <w:trHeight w:val="45"/>
        </w:trPr>
        <w:tc>
          <w:tcPr>
            <w:tcW w:w="0" w:type="auto"/>
          </w:tcPr>
          <w:p w14:paraId="32692BD1" w14:textId="76DEB75C" w:rsidR="004977A0" w:rsidRDefault="004977A0" w:rsidP="00D249AC">
            <w:pPr>
              <w:spacing w:after="160" w:line="259" w:lineRule="auto"/>
              <w:ind w:left="0" w:firstLine="0"/>
              <w:jc w:val="left"/>
            </w:pPr>
            <w:r>
              <w:t>PM</w:t>
            </w:r>
            <w:r w:rsidR="00390553">
              <w:t>5</w:t>
            </w:r>
          </w:p>
        </w:tc>
        <w:tc>
          <w:tcPr>
            <w:tcW w:w="0" w:type="auto"/>
          </w:tcPr>
          <w:p w14:paraId="62EF2E6A" w14:textId="77777777" w:rsidR="004977A0" w:rsidRDefault="000C3F15" w:rsidP="00D249AC">
            <w:pPr>
              <w:spacing w:after="160" w:line="259" w:lineRule="auto"/>
              <w:ind w:left="0" w:firstLine="0"/>
              <w:jc w:val="left"/>
            </w:pPr>
            <w:r>
              <w:t>Second paragraph</w:t>
            </w:r>
          </w:p>
          <w:p w14:paraId="07C2CE11" w14:textId="6B74D52C" w:rsidR="000C3F15" w:rsidRDefault="000C3F15" w:rsidP="00D249AC">
            <w:pPr>
              <w:spacing w:after="160" w:line="259" w:lineRule="auto"/>
              <w:ind w:left="0" w:firstLine="0"/>
              <w:jc w:val="left"/>
            </w:pPr>
            <w:r>
              <w:t>Page 21</w:t>
            </w:r>
          </w:p>
        </w:tc>
        <w:tc>
          <w:tcPr>
            <w:tcW w:w="0" w:type="auto"/>
          </w:tcPr>
          <w:p w14:paraId="57C5BF36" w14:textId="3348472D" w:rsidR="004977A0" w:rsidRDefault="00347407" w:rsidP="002C72B5">
            <w:pPr>
              <w:spacing w:after="160" w:line="259" w:lineRule="auto"/>
              <w:ind w:left="24" w:hanging="24"/>
              <w:jc w:val="left"/>
            </w:pPr>
            <w:r>
              <w:t>Amend last part of second sentence to read:</w:t>
            </w:r>
          </w:p>
          <w:p w14:paraId="57680D2F" w14:textId="788DAF19" w:rsidR="00347407" w:rsidRDefault="00347407" w:rsidP="00334700">
            <w:pPr>
              <w:spacing w:after="160" w:line="259" w:lineRule="auto"/>
              <w:ind w:left="39" w:hanging="39"/>
              <w:jc w:val="left"/>
            </w:pPr>
            <w:r>
              <w:t xml:space="preserve">….. there is </w:t>
            </w:r>
            <w:r w:rsidRPr="00347407">
              <w:rPr>
                <w:strike/>
              </w:rPr>
              <w:t>comparatively</w:t>
            </w:r>
            <w:r>
              <w:t xml:space="preserve"> little space </w:t>
            </w:r>
            <w:r w:rsidRPr="00347407">
              <w:rPr>
                <w:b/>
                <w:bCs/>
              </w:rPr>
              <w:t>available for public use in the eastern part of the NP area</w:t>
            </w:r>
            <w:r>
              <w:t xml:space="preserve"> </w:t>
            </w:r>
            <w:r w:rsidRPr="00347407">
              <w:rPr>
                <w:strike/>
              </w:rPr>
              <w:t>actually open to the public</w:t>
            </w:r>
            <w:r w:rsidR="007E5090">
              <w:t xml:space="preserve"> …..</w:t>
            </w:r>
          </w:p>
        </w:tc>
      </w:tr>
      <w:tr w:rsidR="004614DE" w14:paraId="61FD1C2E" w14:textId="77777777" w:rsidTr="003C5B31">
        <w:trPr>
          <w:trHeight w:val="45"/>
        </w:trPr>
        <w:tc>
          <w:tcPr>
            <w:tcW w:w="0" w:type="auto"/>
          </w:tcPr>
          <w:p w14:paraId="0C0E1A5A" w14:textId="3DF197DD" w:rsidR="004977A0" w:rsidRDefault="004977A0" w:rsidP="00D249AC">
            <w:pPr>
              <w:spacing w:after="160" w:line="259" w:lineRule="auto"/>
              <w:ind w:left="0" w:firstLine="0"/>
              <w:jc w:val="left"/>
            </w:pPr>
            <w:r>
              <w:lastRenderedPageBreak/>
              <w:t>PM</w:t>
            </w:r>
            <w:r w:rsidR="00390553">
              <w:t>6</w:t>
            </w:r>
          </w:p>
        </w:tc>
        <w:tc>
          <w:tcPr>
            <w:tcW w:w="0" w:type="auto"/>
          </w:tcPr>
          <w:p w14:paraId="0BDA9862" w14:textId="77777777" w:rsidR="004977A0" w:rsidRDefault="00347407" w:rsidP="00D249AC">
            <w:pPr>
              <w:spacing w:after="160" w:line="259" w:lineRule="auto"/>
              <w:ind w:left="0" w:firstLine="0"/>
              <w:jc w:val="left"/>
            </w:pPr>
            <w:r>
              <w:t>Policy DC2</w:t>
            </w:r>
          </w:p>
          <w:p w14:paraId="1415B8F4" w14:textId="650FC976" w:rsidR="00347407" w:rsidRDefault="00347407" w:rsidP="00D249AC">
            <w:pPr>
              <w:spacing w:after="160" w:line="259" w:lineRule="auto"/>
              <w:ind w:left="0" w:firstLine="0"/>
              <w:jc w:val="left"/>
            </w:pPr>
            <w:r>
              <w:t>Page 22</w:t>
            </w:r>
          </w:p>
        </w:tc>
        <w:tc>
          <w:tcPr>
            <w:tcW w:w="0" w:type="auto"/>
          </w:tcPr>
          <w:p w14:paraId="20651C58" w14:textId="47D17815" w:rsidR="004977A0" w:rsidRPr="00334700" w:rsidRDefault="00347407" w:rsidP="002C72B5">
            <w:pPr>
              <w:spacing w:after="160" w:line="259" w:lineRule="auto"/>
              <w:ind w:left="0" w:firstLine="0"/>
              <w:jc w:val="left"/>
            </w:pPr>
            <w:r>
              <w:t xml:space="preserve">In the introductory sentence replace </w:t>
            </w:r>
            <w:r w:rsidRPr="00347407">
              <w:rPr>
                <w:strike/>
              </w:rPr>
              <w:t xml:space="preserve">Protect and </w:t>
            </w:r>
            <w:r>
              <w:rPr>
                <w:strike/>
              </w:rPr>
              <w:t>p</w:t>
            </w:r>
            <w:r w:rsidRPr="00347407">
              <w:rPr>
                <w:strike/>
              </w:rPr>
              <w:t>reserve</w:t>
            </w:r>
            <w:r>
              <w:t xml:space="preserve"> with </w:t>
            </w:r>
            <w:r w:rsidRPr="00347407">
              <w:rPr>
                <w:b/>
                <w:bCs/>
              </w:rPr>
              <w:t>Preserve or enhance</w:t>
            </w:r>
            <w:r w:rsidR="00334700">
              <w:t>.</w:t>
            </w:r>
          </w:p>
        </w:tc>
      </w:tr>
      <w:tr w:rsidR="004614DE" w14:paraId="2F33CD80" w14:textId="77777777" w:rsidTr="003C5B31">
        <w:trPr>
          <w:trHeight w:val="45"/>
        </w:trPr>
        <w:tc>
          <w:tcPr>
            <w:tcW w:w="0" w:type="auto"/>
          </w:tcPr>
          <w:p w14:paraId="462F041A" w14:textId="0FB7565C" w:rsidR="004977A0" w:rsidRDefault="004977A0" w:rsidP="00D249AC">
            <w:pPr>
              <w:spacing w:after="160" w:line="259" w:lineRule="auto"/>
              <w:ind w:left="0" w:firstLine="0"/>
              <w:jc w:val="left"/>
            </w:pPr>
            <w:r>
              <w:t>PM</w:t>
            </w:r>
            <w:r w:rsidR="00390553">
              <w:t>7</w:t>
            </w:r>
          </w:p>
        </w:tc>
        <w:tc>
          <w:tcPr>
            <w:tcW w:w="0" w:type="auto"/>
          </w:tcPr>
          <w:p w14:paraId="08170C6B" w14:textId="2A057A64" w:rsidR="004977A0" w:rsidRDefault="008842A4" w:rsidP="00D249AC">
            <w:pPr>
              <w:spacing w:after="160" w:line="259" w:lineRule="auto"/>
              <w:ind w:left="0" w:firstLine="0"/>
              <w:jc w:val="left"/>
            </w:pPr>
            <w:r>
              <w:t>Policy DC2(c)</w:t>
            </w:r>
          </w:p>
          <w:p w14:paraId="14BD28CC" w14:textId="27216496" w:rsidR="008842A4" w:rsidRDefault="008842A4" w:rsidP="00D249AC">
            <w:pPr>
              <w:spacing w:after="160" w:line="259" w:lineRule="auto"/>
              <w:ind w:left="0" w:firstLine="0"/>
              <w:jc w:val="left"/>
            </w:pPr>
            <w:r>
              <w:t>Page 22</w:t>
            </w:r>
          </w:p>
        </w:tc>
        <w:tc>
          <w:tcPr>
            <w:tcW w:w="0" w:type="auto"/>
          </w:tcPr>
          <w:p w14:paraId="2C877935" w14:textId="1A8A872D" w:rsidR="004977A0" w:rsidRDefault="00A511ED" w:rsidP="007E5090">
            <w:pPr>
              <w:spacing w:after="160" w:line="259" w:lineRule="auto"/>
              <w:ind w:left="24" w:hanging="24"/>
              <w:jc w:val="left"/>
            </w:pPr>
            <w:r>
              <w:t>Delete all of sub-section (c) and replace with</w:t>
            </w:r>
            <w:r w:rsidR="008842A4">
              <w:t>:</w:t>
            </w:r>
          </w:p>
          <w:p w14:paraId="7D9D01F6" w14:textId="2369FB9D" w:rsidR="008842A4" w:rsidRDefault="00A511ED" w:rsidP="007E5090">
            <w:pPr>
              <w:spacing w:after="160" w:line="259" w:lineRule="auto"/>
              <w:ind w:left="24" w:hanging="24"/>
              <w:jc w:val="left"/>
              <w:rPr>
                <w:b/>
                <w:bCs/>
              </w:rPr>
            </w:pPr>
            <w:r w:rsidRPr="00A511ED">
              <w:rPr>
                <w:b/>
                <w:bCs/>
              </w:rPr>
              <w:t>(c) In the case of development affecting any of the buildings (or the setting of any such buildings) that make a positive contribution to the character or appearance of the conservation area, as identified in the Conservation Area Appraisal (Appraisal Appendix 2),</w:t>
            </w:r>
            <w:r w:rsidR="008842A4" w:rsidRPr="00A511ED">
              <w:rPr>
                <w:b/>
                <w:bCs/>
              </w:rPr>
              <w:t xml:space="preserve"> only</w:t>
            </w:r>
            <w:r w:rsidR="008842A4" w:rsidRPr="008842A4">
              <w:rPr>
                <w:b/>
                <w:bCs/>
              </w:rPr>
              <w:t xml:space="preserve"> permitting development that is designed to a high standard, or</w:t>
            </w:r>
            <w:r w:rsidR="009B57CC">
              <w:rPr>
                <w:b/>
                <w:bCs/>
              </w:rPr>
              <w:t xml:space="preserve"> pr</w:t>
            </w:r>
            <w:r w:rsidR="008842A4" w:rsidRPr="008842A4">
              <w:rPr>
                <w:b/>
                <w:bCs/>
              </w:rPr>
              <w:t>eserves or enhances the character or appearance of the conservation area and makes a positive contribution to local d</w:t>
            </w:r>
            <w:r w:rsidR="009B57CC">
              <w:rPr>
                <w:b/>
                <w:bCs/>
              </w:rPr>
              <w:t>i</w:t>
            </w:r>
            <w:r w:rsidR="008842A4" w:rsidRPr="008842A4">
              <w:rPr>
                <w:b/>
                <w:bCs/>
              </w:rPr>
              <w:t>stinctiveness;</w:t>
            </w:r>
          </w:p>
          <w:p w14:paraId="1E2D5A4B" w14:textId="77777777" w:rsidR="008842A4" w:rsidRDefault="008842A4" w:rsidP="00E0560F">
            <w:pPr>
              <w:spacing w:after="160" w:line="259" w:lineRule="auto"/>
              <w:jc w:val="left"/>
            </w:pPr>
            <w:r>
              <w:t>Add a new sub-section (d) to read:</w:t>
            </w:r>
          </w:p>
          <w:p w14:paraId="176E2437" w14:textId="529EB69F" w:rsidR="008842A4" w:rsidRDefault="00334700" w:rsidP="007E5090">
            <w:pPr>
              <w:spacing w:after="160" w:line="259" w:lineRule="auto"/>
              <w:ind w:left="0" w:firstLine="0"/>
              <w:jc w:val="left"/>
            </w:pPr>
            <w:r>
              <w:rPr>
                <w:b/>
                <w:bCs/>
              </w:rPr>
              <w:t xml:space="preserve">(d) </w:t>
            </w:r>
            <w:r w:rsidR="008842A4" w:rsidRPr="009B57CC">
              <w:rPr>
                <w:b/>
                <w:bCs/>
              </w:rPr>
              <w:t>In the case of development affecting any of the locally</w:t>
            </w:r>
            <w:r w:rsidR="007A39E1">
              <w:rPr>
                <w:b/>
                <w:bCs/>
              </w:rPr>
              <w:t xml:space="preserve"> </w:t>
            </w:r>
            <w:r w:rsidR="008842A4" w:rsidRPr="009B57CC">
              <w:rPr>
                <w:b/>
                <w:bCs/>
              </w:rPr>
              <w:t>listed and other heritage assets identified in A</w:t>
            </w:r>
            <w:r w:rsidR="009B57CC">
              <w:rPr>
                <w:b/>
                <w:bCs/>
              </w:rPr>
              <w:t>pp</w:t>
            </w:r>
            <w:r w:rsidR="008842A4" w:rsidRPr="009B57CC">
              <w:rPr>
                <w:b/>
                <w:bCs/>
              </w:rPr>
              <w:t>endix 2, or their settings, only permitting development that is designed to a high standard</w:t>
            </w:r>
            <w:r w:rsidR="009B57CC">
              <w:rPr>
                <w:b/>
                <w:bCs/>
              </w:rPr>
              <w:t>.</w:t>
            </w:r>
          </w:p>
          <w:p w14:paraId="37D2DB4C" w14:textId="76713F14" w:rsidR="009B57CC" w:rsidRPr="009B57CC" w:rsidRDefault="009B57CC" w:rsidP="002C72B5">
            <w:pPr>
              <w:spacing w:after="160" w:line="259" w:lineRule="auto"/>
              <w:ind w:left="24" w:hanging="24"/>
              <w:jc w:val="left"/>
              <w:rPr>
                <w:b/>
                <w:bCs/>
              </w:rPr>
            </w:pPr>
            <w:r>
              <w:t xml:space="preserve">Replace the existing (d) </w:t>
            </w:r>
            <w:r w:rsidR="00CC1CA1">
              <w:t xml:space="preserve">for the last sub-section </w:t>
            </w:r>
            <w:r>
              <w:t>with the letter (</w:t>
            </w:r>
            <w:r w:rsidRPr="009B57CC">
              <w:rPr>
                <w:b/>
                <w:bCs/>
              </w:rPr>
              <w:t>e</w:t>
            </w:r>
            <w:r>
              <w:t>)</w:t>
            </w:r>
            <w:r w:rsidR="00D039BC">
              <w:t>.</w:t>
            </w:r>
          </w:p>
        </w:tc>
      </w:tr>
      <w:tr w:rsidR="004614DE" w14:paraId="6D8F24B2" w14:textId="77777777" w:rsidTr="003C5B31">
        <w:trPr>
          <w:trHeight w:val="45"/>
        </w:trPr>
        <w:tc>
          <w:tcPr>
            <w:tcW w:w="0" w:type="auto"/>
          </w:tcPr>
          <w:p w14:paraId="715F67A3" w14:textId="3FCFA3BC" w:rsidR="004977A0" w:rsidRDefault="004977A0" w:rsidP="00D249AC">
            <w:pPr>
              <w:spacing w:after="160" w:line="259" w:lineRule="auto"/>
              <w:ind w:left="0" w:firstLine="0"/>
              <w:jc w:val="left"/>
            </w:pPr>
            <w:r>
              <w:t>PM</w:t>
            </w:r>
            <w:r w:rsidR="00390553">
              <w:t>8</w:t>
            </w:r>
          </w:p>
        </w:tc>
        <w:tc>
          <w:tcPr>
            <w:tcW w:w="0" w:type="auto"/>
          </w:tcPr>
          <w:p w14:paraId="7417C4A2" w14:textId="2303B0B5" w:rsidR="004977A0" w:rsidRDefault="009B57CC" w:rsidP="00D249AC">
            <w:pPr>
              <w:spacing w:after="160" w:line="259" w:lineRule="auto"/>
              <w:ind w:left="0" w:firstLine="0"/>
              <w:jc w:val="left"/>
            </w:pPr>
            <w:r>
              <w:t>Pages 23</w:t>
            </w:r>
            <w:r w:rsidR="00CC1CA1">
              <w:t xml:space="preserve"> and 24</w:t>
            </w:r>
            <w:r>
              <w:t xml:space="preserve"> </w:t>
            </w:r>
          </w:p>
        </w:tc>
        <w:tc>
          <w:tcPr>
            <w:tcW w:w="0" w:type="auto"/>
          </w:tcPr>
          <w:p w14:paraId="6ADF4725" w14:textId="75208E7C" w:rsidR="00CC1CA1" w:rsidRDefault="00CC1CA1" w:rsidP="002C72B5">
            <w:pPr>
              <w:spacing w:after="160" w:line="259" w:lineRule="auto"/>
              <w:ind w:left="24" w:hanging="7"/>
              <w:jc w:val="left"/>
            </w:pPr>
            <w:r>
              <w:t xml:space="preserve">In the penultimate paragraph on page 23 start the sentence with: DC2(c) </w:t>
            </w:r>
            <w:r w:rsidRPr="00CC1CA1">
              <w:rPr>
                <w:b/>
                <w:bCs/>
              </w:rPr>
              <w:t>and</w:t>
            </w:r>
            <w:r>
              <w:t xml:space="preserve"> </w:t>
            </w:r>
            <w:r w:rsidRPr="00CC1CA1">
              <w:rPr>
                <w:b/>
                <w:bCs/>
              </w:rPr>
              <w:t>(d)</w:t>
            </w:r>
            <w:r w:rsidR="00334700" w:rsidRPr="00334700">
              <w:t>.</w:t>
            </w:r>
          </w:p>
          <w:p w14:paraId="5647AE98" w14:textId="77777777" w:rsidR="002A19E9" w:rsidRDefault="002A19E9" w:rsidP="002C72B5">
            <w:pPr>
              <w:spacing w:after="160" w:line="259" w:lineRule="auto"/>
              <w:ind w:left="24" w:hanging="7"/>
              <w:jc w:val="left"/>
            </w:pPr>
            <w:r w:rsidRPr="002A19E9">
              <w:t xml:space="preserve">Delete the following sentences from </w:t>
            </w:r>
            <w:r>
              <w:t>the last paragraph on page 23 (which continues on page 24):</w:t>
            </w:r>
          </w:p>
          <w:p w14:paraId="7D0718F7" w14:textId="75E01F64" w:rsidR="002A19E9" w:rsidRDefault="008A3CC1" w:rsidP="002C72B5">
            <w:pPr>
              <w:spacing w:after="160" w:line="259" w:lineRule="auto"/>
              <w:ind w:left="24" w:hanging="7"/>
              <w:jc w:val="left"/>
            </w:pPr>
            <w:r w:rsidRPr="008A3CC1">
              <w:rPr>
                <w:strike/>
              </w:rPr>
              <w:t>The intention is therefore for all these non-designated heritage assets (whether included in the local list or not) to be dealt with in the same fashion.</w:t>
            </w:r>
            <w:r>
              <w:t xml:space="preserve">  And</w:t>
            </w:r>
          </w:p>
          <w:p w14:paraId="1E3C5184" w14:textId="786C82BA" w:rsidR="008A3CC1" w:rsidRPr="008A3CC1" w:rsidRDefault="008A3CC1" w:rsidP="002C72B5">
            <w:pPr>
              <w:spacing w:after="160" w:line="259" w:lineRule="auto"/>
              <w:ind w:left="24" w:hanging="7"/>
              <w:jc w:val="left"/>
              <w:rPr>
                <w:strike/>
              </w:rPr>
            </w:pPr>
            <w:r w:rsidRPr="008A3CC1">
              <w:rPr>
                <w:strike/>
              </w:rPr>
              <w:t xml:space="preserve">Should preserve or enhance the character of the Conservation Area (where within the Conservation Area) </w:t>
            </w:r>
            <w:r w:rsidRPr="008A3CC1">
              <w:rPr>
                <w:strike/>
              </w:rPr>
              <w:lastRenderedPageBreak/>
              <w:t>and make a positive contribution to local distinctiveness. Under paragraph 197 of the NPPF, in weighing applications affecting these non-designated heritage assets, a balanced judgement will be required having regard to the scale of any harm or loss and the significance of the heritage asset.</w:t>
            </w:r>
          </w:p>
          <w:p w14:paraId="4EDF74C2" w14:textId="3E7BA07B" w:rsidR="004977A0" w:rsidRDefault="00CC1CA1" w:rsidP="002C72B5">
            <w:pPr>
              <w:spacing w:after="160" w:line="259" w:lineRule="auto"/>
              <w:ind w:left="24" w:hanging="24"/>
              <w:jc w:val="left"/>
            </w:pPr>
            <w:r w:rsidRPr="00CC1CA1">
              <w:t>Start the final paragraph on page 24 with:</w:t>
            </w:r>
            <w:r>
              <w:rPr>
                <w:b/>
                <w:bCs/>
              </w:rPr>
              <w:t xml:space="preserve"> DC2(e</w:t>
            </w:r>
            <w:r w:rsidRPr="00CC1CA1">
              <w:rPr>
                <w:b/>
                <w:bCs/>
              </w:rPr>
              <w:t>)</w:t>
            </w:r>
            <w:r>
              <w:rPr>
                <w:b/>
                <w:bCs/>
              </w:rPr>
              <w:t xml:space="preserve"> </w:t>
            </w:r>
            <w:r w:rsidRPr="00CC1CA1">
              <w:rPr>
                <w:strike/>
              </w:rPr>
              <w:t>(</w:t>
            </w:r>
            <w:r>
              <w:rPr>
                <w:strike/>
              </w:rPr>
              <w:t>d</w:t>
            </w:r>
            <w:r w:rsidRPr="00CC1CA1">
              <w:rPr>
                <w:strike/>
              </w:rPr>
              <w:t>)</w:t>
            </w:r>
            <w:r w:rsidR="00334700">
              <w:rPr>
                <w:strike/>
              </w:rPr>
              <w:t>.</w:t>
            </w:r>
            <w:r>
              <w:t xml:space="preserve"> </w:t>
            </w:r>
          </w:p>
        </w:tc>
      </w:tr>
      <w:tr w:rsidR="004614DE" w14:paraId="53C2DFF9" w14:textId="77777777" w:rsidTr="003C5B31">
        <w:trPr>
          <w:trHeight w:val="45"/>
        </w:trPr>
        <w:tc>
          <w:tcPr>
            <w:tcW w:w="0" w:type="auto"/>
          </w:tcPr>
          <w:p w14:paraId="277FA1EC" w14:textId="54437D1D" w:rsidR="004977A0" w:rsidRDefault="004977A0" w:rsidP="00D249AC">
            <w:pPr>
              <w:spacing w:after="160" w:line="259" w:lineRule="auto"/>
              <w:ind w:left="0" w:firstLine="0"/>
              <w:jc w:val="left"/>
            </w:pPr>
            <w:r>
              <w:lastRenderedPageBreak/>
              <w:t>PM</w:t>
            </w:r>
            <w:r w:rsidR="00390553">
              <w:t>9</w:t>
            </w:r>
          </w:p>
        </w:tc>
        <w:tc>
          <w:tcPr>
            <w:tcW w:w="0" w:type="auto"/>
          </w:tcPr>
          <w:p w14:paraId="6673ABE1" w14:textId="554164A4" w:rsidR="004977A0" w:rsidRDefault="009B57CC" w:rsidP="00D249AC">
            <w:pPr>
              <w:spacing w:after="160" w:line="259" w:lineRule="auto"/>
              <w:ind w:left="0" w:firstLine="0"/>
              <w:jc w:val="left"/>
            </w:pPr>
            <w:r>
              <w:t>Page 35</w:t>
            </w:r>
          </w:p>
        </w:tc>
        <w:tc>
          <w:tcPr>
            <w:tcW w:w="0" w:type="auto"/>
          </w:tcPr>
          <w:p w14:paraId="5E545ED1" w14:textId="77777777" w:rsidR="004977A0" w:rsidRDefault="009B57CC" w:rsidP="002C72B5">
            <w:pPr>
              <w:spacing w:after="160" w:line="259" w:lineRule="auto"/>
              <w:ind w:left="24" w:hanging="24"/>
              <w:jc w:val="left"/>
            </w:pPr>
            <w:r>
              <w:t>Add a new sentence at the end of section 4.3 to read:</w:t>
            </w:r>
          </w:p>
          <w:p w14:paraId="7E95CC13" w14:textId="1606155A" w:rsidR="009B57CC" w:rsidRPr="009B57CC" w:rsidRDefault="009B57CC" w:rsidP="002C72B5">
            <w:pPr>
              <w:spacing w:after="160" w:line="259" w:lineRule="auto"/>
              <w:ind w:left="24" w:hanging="24"/>
              <w:jc w:val="left"/>
              <w:rPr>
                <w:b/>
                <w:bCs/>
              </w:rPr>
            </w:pPr>
            <w:r w:rsidRPr="009B57CC">
              <w:rPr>
                <w:b/>
                <w:bCs/>
              </w:rPr>
              <w:t>The current housing target for the Borough of Camden is 1,</w:t>
            </w:r>
            <w:r w:rsidR="008A3CC1">
              <w:rPr>
                <w:b/>
                <w:bCs/>
              </w:rPr>
              <w:t>120</w:t>
            </w:r>
            <w:r w:rsidRPr="009B57CC">
              <w:rPr>
                <w:b/>
                <w:bCs/>
              </w:rPr>
              <w:t xml:space="preserve"> homes per annum and Dartmouth Park will contribute towards meeting that need when suitable opportunities arise.</w:t>
            </w:r>
          </w:p>
        </w:tc>
      </w:tr>
      <w:tr w:rsidR="004614DE" w14:paraId="621B58F6" w14:textId="77777777" w:rsidTr="003C5B31">
        <w:trPr>
          <w:trHeight w:val="45"/>
        </w:trPr>
        <w:tc>
          <w:tcPr>
            <w:tcW w:w="0" w:type="auto"/>
          </w:tcPr>
          <w:p w14:paraId="76174306" w14:textId="35F181B9" w:rsidR="004977A0" w:rsidRDefault="004977A0" w:rsidP="00D249AC">
            <w:pPr>
              <w:spacing w:after="160" w:line="259" w:lineRule="auto"/>
              <w:ind w:left="0" w:firstLine="0"/>
              <w:jc w:val="left"/>
            </w:pPr>
            <w:r>
              <w:t>PM1</w:t>
            </w:r>
            <w:r w:rsidR="00390553">
              <w:t>0</w:t>
            </w:r>
          </w:p>
        </w:tc>
        <w:tc>
          <w:tcPr>
            <w:tcW w:w="0" w:type="auto"/>
          </w:tcPr>
          <w:p w14:paraId="757328C6" w14:textId="498D42AF" w:rsidR="004977A0" w:rsidRDefault="009B57CC" w:rsidP="00D249AC">
            <w:pPr>
              <w:spacing w:after="160" w:line="259" w:lineRule="auto"/>
              <w:ind w:left="0" w:firstLine="0"/>
              <w:jc w:val="left"/>
            </w:pPr>
            <w:r>
              <w:t>Policy H1</w:t>
            </w:r>
          </w:p>
        </w:tc>
        <w:tc>
          <w:tcPr>
            <w:tcW w:w="0" w:type="auto"/>
          </w:tcPr>
          <w:p w14:paraId="28D8E0D2" w14:textId="77777777" w:rsidR="004977A0" w:rsidRDefault="009B57CC" w:rsidP="00E0560F">
            <w:pPr>
              <w:spacing w:after="160" w:line="259" w:lineRule="auto"/>
              <w:jc w:val="left"/>
            </w:pPr>
            <w:r>
              <w:t>Delete:</w:t>
            </w:r>
          </w:p>
          <w:p w14:paraId="7BA9A833" w14:textId="77777777" w:rsidR="009B57CC" w:rsidRPr="00A36DBD" w:rsidRDefault="009B57CC" w:rsidP="002C72B5">
            <w:pPr>
              <w:spacing w:after="160" w:line="259" w:lineRule="auto"/>
              <w:ind w:left="24" w:hanging="24"/>
              <w:jc w:val="left"/>
              <w:rPr>
                <w:strike/>
              </w:rPr>
            </w:pPr>
            <w:r w:rsidRPr="00A36DBD">
              <w:rPr>
                <w:strike/>
              </w:rPr>
              <w:t>(i</w:t>
            </w:r>
            <w:r w:rsidR="00A36DBD" w:rsidRPr="00A36DBD">
              <w:rPr>
                <w:strike/>
              </w:rPr>
              <w:t>i</w:t>
            </w:r>
            <w:r w:rsidRPr="00A36DBD">
              <w:rPr>
                <w:strike/>
              </w:rPr>
              <w:t xml:space="preserve">) </w:t>
            </w:r>
            <w:r w:rsidR="00A36DBD" w:rsidRPr="00A36DBD">
              <w:rPr>
                <w:strike/>
              </w:rPr>
              <w:t>preserve existing buildings that make a positive contribution to the character of the area, and</w:t>
            </w:r>
          </w:p>
          <w:p w14:paraId="4F679FC0" w14:textId="4E356151" w:rsidR="00A36DBD" w:rsidRDefault="00A36DBD" w:rsidP="002C72B5">
            <w:pPr>
              <w:spacing w:after="160" w:line="259" w:lineRule="auto"/>
              <w:ind w:left="24" w:hanging="24"/>
              <w:jc w:val="left"/>
              <w:rPr>
                <w:strike/>
              </w:rPr>
            </w:pPr>
            <w:r w:rsidRPr="00A36DBD">
              <w:rPr>
                <w:strike/>
              </w:rPr>
              <w:t>(iii) have scale and massing which respect that of surrounding buildings;</w:t>
            </w:r>
          </w:p>
          <w:p w14:paraId="6A69A18D" w14:textId="77777777" w:rsidR="00A36DBD" w:rsidRDefault="00A36DBD" w:rsidP="00E0560F">
            <w:pPr>
              <w:spacing w:after="160" w:line="259" w:lineRule="auto"/>
              <w:jc w:val="left"/>
            </w:pPr>
            <w:r>
              <w:t>Delete:</w:t>
            </w:r>
          </w:p>
          <w:p w14:paraId="49FB76C9" w14:textId="77777777" w:rsidR="00A36DBD" w:rsidRDefault="00A36DBD" w:rsidP="002C72B5">
            <w:pPr>
              <w:spacing w:after="160" w:line="259" w:lineRule="auto"/>
              <w:ind w:left="0" w:firstLine="17"/>
              <w:jc w:val="left"/>
              <w:rPr>
                <w:strike/>
              </w:rPr>
            </w:pPr>
            <w:r w:rsidRPr="00A36DBD">
              <w:rPr>
                <w:strike/>
              </w:rPr>
              <w:t>(b) taking a sympathetic approach to small roof, side and rear extensions to existing residential properties, where this can be achieved consistently with policy DC4;</w:t>
            </w:r>
          </w:p>
          <w:p w14:paraId="7782F72B" w14:textId="77777777" w:rsidR="007F6AAE" w:rsidRDefault="008A3CC1" w:rsidP="002C72B5">
            <w:pPr>
              <w:spacing w:after="160" w:line="259" w:lineRule="auto"/>
              <w:ind w:left="0" w:firstLine="17"/>
              <w:jc w:val="left"/>
            </w:pPr>
            <w:r w:rsidRPr="008A3CC1">
              <w:t>Amend supporting text</w:t>
            </w:r>
            <w:r w:rsidR="007F6AAE">
              <w:t xml:space="preserve"> in last sentence in third paragraph on page 36 to read:</w:t>
            </w:r>
          </w:p>
          <w:p w14:paraId="69951DE3" w14:textId="77777777" w:rsidR="008A3CC1" w:rsidRDefault="007F6AAE" w:rsidP="002C72B5">
            <w:pPr>
              <w:spacing w:after="160" w:line="259" w:lineRule="auto"/>
              <w:ind w:left="0" w:firstLine="17"/>
              <w:jc w:val="left"/>
            </w:pPr>
            <w:r w:rsidRPr="007F6AAE">
              <w:rPr>
                <w:strike/>
              </w:rPr>
              <w:t>While</w:t>
            </w:r>
            <w:r>
              <w:t xml:space="preserve"> The policies reflected in H1(a) </w:t>
            </w:r>
            <w:r w:rsidRPr="007F6AAE">
              <w:rPr>
                <w:strike/>
              </w:rPr>
              <w:t>(i) and (ii)</w:t>
            </w:r>
            <w:r>
              <w:t xml:space="preserve"> should be considered in the context of </w:t>
            </w:r>
            <w:r w:rsidRPr="007F6AAE">
              <w:rPr>
                <w:strike/>
              </w:rPr>
              <w:t>are also addressed in</w:t>
            </w:r>
            <w:r>
              <w:t xml:space="preserve"> Chapter 3 (Design), they are included here to capture … </w:t>
            </w:r>
          </w:p>
          <w:p w14:paraId="5DF02DD6" w14:textId="12B8F255" w:rsidR="007F6AAE" w:rsidRPr="008A3CC1" w:rsidRDefault="007F6AAE" w:rsidP="002C72B5">
            <w:pPr>
              <w:spacing w:after="160" w:line="259" w:lineRule="auto"/>
              <w:ind w:left="0" w:firstLine="17"/>
              <w:jc w:val="left"/>
            </w:pPr>
            <w:r>
              <w:t xml:space="preserve">Delete all of last paragraph on page 36 which starts: </w:t>
            </w:r>
            <w:r w:rsidRPr="007F6AAE">
              <w:rPr>
                <w:strike/>
              </w:rPr>
              <w:t>H1(b) seeks to make ….</w:t>
            </w:r>
          </w:p>
        </w:tc>
      </w:tr>
      <w:tr w:rsidR="004614DE" w14:paraId="113413B6" w14:textId="77777777" w:rsidTr="003C5B31">
        <w:trPr>
          <w:trHeight w:val="45"/>
        </w:trPr>
        <w:tc>
          <w:tcPr>
            <w:tcW w:w="0" w:type="auto"/>
          </w:tcPr>
          <w:p w14:paraId="4E30B6A0" w14:textId="5071FD50" w:rsidR="004977A0" w:rsidRDefault="004977A0" w:rsidP="00D249AC">
            <w:pPr>
              <w:spacing w:after="160" w:line="259" w:lineRule="auto"/>
              <w:ind w:left="0" w:firstLine="0"/>
              <w:jc w:val="left"/>
            </w:pPr>
            <w:r>
              <w:lastRenderedPageBreak/>
              <w:t>PM1</w:t>
            </w:r>
            <w:r w:rsidR="00390553">
              <w:t>1</w:t>
            </w:r>
          </w:p>
        </w:tc>
        <w:tc>
          <w:tcPr>
            <w:tcW w:w="0" w:type="auto"/>
          </w:tcPr>
          <w:p w14:paraId="2828C4C8" w14:textId="77777777" w:rsidR="004977A0" w:rsidRDefault="00A36DBD" w:rsidP="00D249AC">
            <w:pPr>
              <w:spacing w:after="160" w:line="259" w:lineRule="auto"/>
              <w:ind w:left="0" w:firstLine="0"/>
              <w:jc w:val="left"/>
            </w:pPr>
            <w:r>
              <w:t>Policy CE1</w:t>
            </w:r>
          </w:p>
          <w:p w14:paraId="3DDAE91F" w14:textId="302B15A1" w:rsidR="00A36DBD" w:rsidRDefault="00A36DBD" w:rsidP="00D249AC">
            <w:pPr>
              <w:spacing w:after="160" w:line="259" w:lineRule="auto"/>
              <w:ind w:left="0" w:firstLine="0"/>
              <w:jc w:val="left"/>
            </w:pPr>
            <w:r>
              <w:t>Page 57</w:t>
            </w:r>
          </w:p>
        </w:tc>
        <w:tc>
          <w:tcPr>
            <w:tcW w:w="0" w:type="auto"/>
          </w:tcPr>
          <w:p w14:paraId="0E5976AC" w14:textId="77777777" w:rsidR="004977A0" w:rsidRDefault="00A36DBD" w:rsidP="00E0560F">
            <w:pPr>
              <w:spacing w:after="160" w:line="259" w:lineRule="auto"/>
              <w:jc w:val="left"/>
            </w:pPr>
            <w:r>
              <w:t>Delete sub-section (e):</w:t>
            </w:r>
          </w:p>
          <w:p w14:paraId="16B6E116" w14:textId="77777777" w:rsidR="00A36DBD" w:rsidRDefault="00A36DBD" w:rsidP="002C72B5">
            <w:pPr>
              <w:spacing w:after="160" w:line="259" w:lineRule="auto"/>
              <w:ind w:left="24" w:hanging="24"/>
              <w:jc w:val="left"/>
              <w:rPr>
                <w:strike/>
              </w:rPr>
            </w:pPr>
            <w:r w:rsidRPr="00A36DBD">
              <w:rPr>
                <w:strike/>
              </w:rPr>
              <w:t>(e) encouraging the establishment of a retail forum of local residents and businesses to advi</w:t>
            </w:r>
            <w:r>
              <w:rPr>
                <w:strike/>
              </w:rPr>
              <w:t>c</w:t>
            </w:r>
            <w:r w:rsidRPr="00A36DBD">
              <w:rPr>
                <w:strike/>
              </w:rPr>
              <w:t>e the developer on the mix of businesses in any new development.</w:t>
            </w:r>
          </w:p>
          <w:p w14:paraId="122E31AA" w14:textId="644B79CE" w:rsidR="00A36DBD" w:rsidRPr="00A36DBD" w:rsidRDefault="00A36DBD" w:rsidP="002C72B5">
            <w:pPr>
              <w:spacing w:after="160" w:line="259" w:lineRule="auto"/>
              <w:ind w:left="24" w:hanging="24"/>
              <w:jc w:val="left"/>
            </w:pPr>
            <w:r w:rsidRPr="00A36DBD">
              <w:t xml:space="preserve">Place an </w:t>
            </w:r>
            <w:r w:rsidRPr="00A36DBD">
              <w:rPr>
                <w:b/>
                <w:bCs/>
              </w:rPr>
              <w:t>and</w:t>
            </w:r>
            <w:r>
              <w:rPr>
                <w:b/>
                <w:bCs/>
              </w:rPr>
              <w:t xml:space="preserve"> </w:t>
            </w:r>
            <w:r w:rsidRPr="00A36DBD">
              <w:t>at the end of sub-section (c)</w:t>
            </w:r>
            <w:r w:rsidR="00334700">
              <w:t>.</w:t>
            </w:r>
          </w:p>
        </w:tc>
      </w:tr>
      <w:tr w:rsidR="004614DE" w14:paraId="688FC723" w14:textId="77777777" w:rsidTr="003C5B31">
        <w:trPr>
          <w:trHeight w:val="45"/>
        </w:trPr>
        <w:tc>
          <w:tcPr>
            <w:tcW w:w="0" w:type="auto"/>
          </w:tcPr>
          <w:p w14:paraId="15E4F580" w14:textId="3238647D" w:rsidR="004977A0" w:rsidRDefault="004977A0" w:rsidP="00D249AC">
            <w:pPr>
              <w:spacing w:after="160" w:line="259" w:lineRule="auto"/>
              <w:ind w:left="0" w:firstLine="0"/>
              <w:jc w:val="left"/>
            </w:pPr>
            <w:r>
              <w:t>PM1</w:t>
            </w:r>
            <w:r w:rsidR="00390553">
              <w:t>2</w:t>
            </w:r>
          </w:p>
        </w:tc>
        <w:tc>
          <w:tcPr>
            <w:tcW w:w="0" w:type="auto"/>
          </w:tcPr>
          <w:p w14:paraId="0BAAF4D0" w14:textId="3B7E9571" w:rsidR="004977A0" w:rsidRDefault="005D2E7C" w:rsidP="00D249AC">
            <w:pPr>
              <w:spacing w:after="160" w:line="259" w:lineRule="auto"/>
              <w:ind w:left="0" w:firstLine="0"/>
              <w:jc w:val="left"/>
            </w:pPr>
            <w:r>
              <w:t>Fig</w:t>
            </w:r>
            <w:r w:rsidR="00A36DBD">
              <w:t xml:space="preserve"> 7A</w:t>
            </w:r>
            <w:r w:rsidR="00012663">
              <w:t xml:space="preserve"> (page 70) and Appendix 4 (page</w:t>
            </w:r>
            <w:r w:rsidR="007E5090">
              <w:t xml:space="preserve"> </w:t>
            </w:r>
            <w:r w:rsidR="00012663">
              <w:t>125)</w:t>
            </w:r>
          </w:p>
        </w:tc>
        <w:tc>
          <w:tcPr>
            <w:tcW w:w="0" w:type="auto"/>
          </w:tcPr>
          <w:p w14:paraId="387E83B7" w14:textId="6AEB9FA8" w:rsidR="004977A0" w:rsidRDefault="00012663" w:rsidP="002C72B5">
            <w:pPr>
              <w:spacing w:after="160" w:line="259" w:lineRule="auto"/>
              <w:ind w:left="24" w:hanging="24"/>
              <w:jc w:val="left"/>
            </w:pPr>
            <w:r>
              <w:t>Provide larger scale plans of the green spaces</w:t>
            </w:r>
            <w:r w:rsidR="00AF030D">
              <w:t xml:space="preserve"> (as identified on Fig 7A)</w:t>
            </w:r>
            <w:r>
              <w:t xml:space="preserve"> in Appendix 4 which differentiate between the different types of open space and identify their boundaries more clearly. Provide a cross-reference on Fig 7A to the detail provided in Appendix 4.</w:t>
            </w:r>
          </w:p>
        </w:tc>
      </w:tr>
      <w:tr w:rsidR="00E26C1E" w14:paraId="391DD74B" w14:textId="77777777" w:rsidTr="00E26C1E">
        <w:trPr>
          <w:trHeight w:val="30"/>
        </w:trPr>
        <w:tc>
          <w:tcPr>
            <w:tcW w:w="0" w:type="auto"/>
          </w:tcPr>
          <w:p w14:paraId="6ED78ABD" w14:textId="78E29231" w:rsidR="00E26C1E" w:rsidRDefault="00E26C1E" w:rsidP="00D249AC">
            <w:pPr>
              <w:spacing w:after="160" w:line="259" w:lineRule="auto"/>
              <w:ind w:left="0" w:firstLine="0"/>
              <w:jc w:val="left"/>
            </w:pPr>
            <w:r>
              <w:t>PM1</w:t>
            </w:r>
            <w:r w:rsidR="00390553">
              <w:t>3</w:t>
            </w:r>
          </w:p>
        </w:tc>
        <w:tc>
          <w:tcPr>
            <w:tcW w:w="0" w:type="auto"/>
          </w:tcPr>
          <w:p w14:paraId="5DF26C9E" w14:textId="1C7B00D9" w:rsidR="00E26C1E" w:rsidRDefault="005D2E7C" w:rsidP="00D249AC">
            <w:pPr>
              <w:spacing w:after="160" w:line="259" w:lineRule="auto"/>
              <w:ind w:left="0" w:firstLine="0"/>
              <w:jc w:val="left"/>
            </w:pPr>
            <w:r>
              <w:t>Fig</w:t>
            </w:r>
            <w:r w:rsidR="00012663">
              <w:t xml:space="preserve"> 7A</w:t>
            </w:r>
          </w:p>
        </w:tc>
        <w:tc>
          <w:tcPr>
            <w:tcW w:w="0" w:type="auto"/>
          </w:tcPr>
          <w:p w14:paraId="41F5ED45" w14:textId="5186467E" w:rsidR="00E26C1E" w:rsidRDefault="00012663" w:rsidP="002C72B5">
            <w:pPr>
              <w:spacing w:after="160" w:line="259" w:lineRule="auto"/>
              <w:ind w:left="24" w:hanging="24"/>
              <w:jc w:val="left"/>
            </w:pPr>
            <w:r>
              <w:t xml:space="preserve">Improve the accuracy of the boundaries of the identified </w:t>
            </w:r>
            <w:r w:rsidR="00334700">
              <w:t xml:space="preserve">local </w:t>
            </w:r>
            <w:r>
              <w:t>green spaces. In particular</w:t>
            </w:r>
            <w:r w:rsidR="00206AEF">
              <w:t>:</w:t>
            </w:r>
          </w:p>
          <w:p w14:paraId="5A3021E5" w14:textId="0FD0CF19" w:rsidR="00012663" w:rsidRDefault="00012663" w:rsidP="007E07B1">
            <w:pPr>
              <w:pStyle w:val="ListParagraph"/>
              <w:numPr>
                <w:ilvl w:val="0"/>
                <w:numId w:val="17"/>
              </w:numPr>
              <w:spacing w:line="259" w:lineRule="auto"/>
              <w:ind w:left="889" w:hanging="283"/>
              <w:jc w:val="left"/>
            </w:pPr>
            <w:r>
              <w:t>LGS2 Highgate Enclosures should not include roads and should be re-titled as Highgate Enclosures and Grove Terrace Squares</w:t>
            </w:r>
            <w:r w:rsidR="00206AEF">
              <w:t>.</w:t>
            </w:r>
          </w:p>
          <w:p w14:paraId="03914495" w14:textId="58A5A4F5" w:rsidR="00012663" w:rsidRDefault="00012663" w:rsidP="007E07B1">
            <w:pPr>
              <w:pStyle w:val="ListParagraph"/>
              <w:numPr>
                <w:ilvl w:val="0"/>
                <w:numId w:val="17"/>
              </w:numPr>
              <w:spacing w:line="259" w:lineRule="auto"/>
              <w:ind w:left="889" w:hanging="283"/>
              <w:jc w:val="left"/>
            </w:pPr>
            <w:r>
              <w:t>LGS4 Mortimer Terrace Nature Reserve should be drawn to be consistent with the other green spaces. Clarify what the status is of the area bounded by a dotted line and referenced as ‘4’ on Fig 7A</w:t>
            </w:r>
            <w:r w:rsidR="00206AEF">
              <w:t>.</w:t>
            </w:r>
          </w:p>
          <w:p w14:paraId="7700BB4D" w14:textId="65B631A7" w:rsidR="00012663" w:rsidRDefault="00012663" w:rsidP="007E07B1">
            <w:pPr>
              <w:pStyle w:val="ListParagraph"/>
              <w:numPr>
                <w:ilvl w:val="0"/>
                <w:numId w:val="17"/>
              </w:numPr>
              <w:spacing w:line="259" w:lineRule="auto"/>
              <w:ind w:left="889" w:hanging="283"/>
              <w:jc w:val="left"/>
            </w:pPr>
            <w:r>
              <w:t>LGS5 York Rise should exclude parking areas and temporary buildings and should have the same boundary style on the plan as the other identified areas</w:t>
            </w:r>
            <w:r w:rsidR="00206AEF">
              <w:t>.</w:t>
            </w:r>
          </w:p>
          <w:p w14:paraId="721E7B7F" w14:textId="199BCE07" w:rsidR="00012663" w:rsidRDefault="00012663" w:rsidP="007E07B1">
            <w:pPr>
              <w:pStyle w:val="ListParagraph"/>
              <w:numPr>
                <w:ilvl w:val="0"/>
                <w:numId w:val="17"/>
              </w:numPr>
              <w:spacing w:line="259" w:lineRule="auto"/>
              <w:ind w:left="874" w:hanging="282"/>
              <w:jc w:val="left"/>
            </w:pPr>
            <w:r>
              <w:t>LGS8 Haddo House should exclude the area of car parking and service road</w:t>
            </w:r>
            <w:r w:rsidR="00206AEF">
              <w:t>.</w:t>
            </w:r>
          </w:p>
          <w:p w14:paraId="383DE242" w14:textId="093BADC6" w:rsidR="00012663" w:rsidRDefault="00012663" w:rsidP="007E07B1">
            <w:pPr>
              <w:pStyle w:val="ListParagraph"/>
              <w:numPr>
                <w:ilvl w:val="0"/>
                <w:numId w:val="17"/>
              </w:numPr>
              <w:spacing w:after="120" w:line="259" w:lineRule="auto"/>
              <w:ind w:left="874" w:hanging="283"/>
              <w:jc w:val="left"/>
            </w:pPr>
            <w:r>
              <w:t>OGSB Lissenden Gardens should not include the private back gardens</w:t>
            </w:r>
            <w:r w:rsidR="00206AEF">
              <w:t>.</w:t>
            </w:r>
            <w:r>
              <w:t xml:space="preserve"> </w:t>
            </w:r>
          </w:p>
        </w:tc>
      </w:tr>
      <w:tr w:rsidR="00E26C1E" w14:paraId="6CAEBA09" w14:textId="77777777" w:rsidTr="003C5B31">
        <w:trPr>
          <w:trHeight w:val="28"/>
        </w:trPr>
        <w:tc>
          <w:tcPr>
            <w:tcW w:w="0" w:type="auto"/>
          </w:tcPr>
          <w:p w14:paraId="14BD3E2C" w14:textId="24061FE8" w:rsidR="00E26C1E" w:rsidRDefault="00E26C1E" w:rsidP="00D249AC">
            <w:pPr>
              <w:spacing w:after="160" w:line="259" w:lineRule="auto"/>
              <w:ind w:left="0" w:firstLine="0"/>
              <w:jc w:val="left"/>
            </w:pPr>
            <w:r>
              <w:t>PM1</w:t>
            </w:r>
            <w:r w:rsidR="00390553">
              <w:t>4</w:t>
            </w:r>
          </w:p>
        </w:tc>
        <w:tc>
          <w:tcPr>
            <w:tcW w:w="0" w:type="auto"/>
          </w:tcPr>
          <w:p w14:paraId="4F0CC136" w14:textId="77777777" w:rsidR="00E26C1E" w:rsidRDefault="00012663" w:rsidP="00D249AC">
            <w:pPr>
              <w:spacing w:after="160" w:line="259" w:lineRule="auto"/>
              <w:ind w:left="0" w:firstLine="0"/>
              <w:jc w:val="left"/>
            </w:pPr>
            <w:r>
              <w:t>Fig 7A</w:t>
            </w:r>
          </w:p>
          <w:p w14:paraId="3B06EBD6" w14:textId="2FEBF8BF" w:rsidR="00012663" w:rsidRDefault="00012663" w:rsidP="00D249AC">
            <w:pPr>
              <w:spacing w:after="160" w:line="259" w:lineRule="auto"/>
              <w:ind w:left="0" w:firstLine="0"/>
              <w:jc w:val="left"/>
            </w:pPr>
            <w:r>
              <w:t>Page 70</w:t>
            </w:r>
          </w:p>
        </w:tc>
        <w:tc>
          <w:tcPr>
            <w:tcW w:w="0" w:type="auto"/>
          </w:tcPr>
          <w:p w14:paraId="25D45EDC" w14:textId="40949FA2" w:rsidR="00E26C1E" w:rsidRDefault="00012663" w:rsidP="00B71615">
            <w:pPr>
              <w:spacing w:after="160" w:line="259" w:lineRule="auto"/>
              <w:ind w:left="39" w:hanging="39"/>
              <w:jc w:val="left"/>
            </w:pPr>
            <w:r>
              <w:t>Delete from the plan</w:t>
            </w:r>
            <w:r w:rsidR="007F6AAE">
              <w:t>, figure 7A, Appendix 4</w:t>
            </w:r>
            <w:r>
              <w:t xml:space="preserve"> and the key:</w:t>
            </w:r>
          </w:p>
          <w:p w14:paraId="6E77460B" w14:textId="635C4154" w:rsidR="00012663" w:rsidRDefault="00012663" w:rsidP="002C72B5">
            <w:pPr>
              <w:spacing w:after="160" w:line="259" w:lineRule="auto"/>
              <w:ind w:left="24" w:hanging="24"/>
              <w:jc w:val="left"/>
            </w:pPr>
            <w:r w:rsidRPr="00012663">
              <w:rPr>
                <w:strike/>
              </w:rPr>
              <w:lastRenderedPageBreak/>
              <w:t>C Gardens of La Sainte Union Des Sacres Coeurs School</w:t>
            </w:r>
            <w:r>
              <w:rPr>
                <w:strike/>
              </w:rPr>
              <w:t xml:space="preserve">   </w:t>
            </w:r>
            <w:r>
              <w:t>and</w:t>
            </w:r>
          </w:p>
          <w:p w14:paraId="13924005" w14:textId="74E31D58" w:rsidR="00012663" w:rsidRPr="002C72B5" w:rsidRDefault="00C959D1" w:rsidP="002C72B5">
            <w:pPr>
              <w:spacing w:after="160" w:line="259" w:lineRule="auto"/>
              <w:ind w:left="24" w:hanging="24"/>
              <w:jc w:val="left"/>
              <w:rPr>
                <w:strike/>
              </w:rPr>
            </w:pPr>
            <w:r w:rsidRPr="00C959D1">
              <w:rPr>
                <w:strike/>
              </w:rPr>
              <w:t>D Grounds of Parliament Hill and William Ellis Schools</w:t>
            </w:r>
          </w:p>
        </w:tc>
      </w:tr>
      <w:tr w:rsidR="00E26C1E" w14:paraId="10839324" w14:textId="77777777" w:rsidTr="003C5B31">
        <w:trPr>
          <w:trHeight w:val="28"/>
        </w:trPr>
        <w:tc>
          <w:tcPr>
            <w:tcW w:w="0" w:type="auto"/>
          </w:tcPr>
          <w:p w14:paraId="0623CA48" w14:textId="4911374B" w:rsidR="00E26C1E" w:rsidRDefault="00E26C1E" w:rsidP="00D249AC">
            <w:pPr>
              <w:spacing w:after="160" w:line="259" w:lineRule="auto"/>
              <w:ind w:left="0" w:firstLine="0"/>
              <w:jc w:val="left"/>
            </w:pPr>
            <w:r>
              <w:lastRenderedPageBreak/>
              <w:t>PM1</w:t>
            </w:r>
            <w:r w:rsidR="00390553">
              <w:t>5</w:t>
            </w:r>
          </w:p>
        </w:tc>
        <w:tc>
          <w:tcPr>
            <w:tcW w:w="0" w:type="auto"/>
          </w:tcPr>
          <w:p w14:paraId="2613EBEC" w14:textId="385FA59D" w:rsidR="00E26C1E" w:rsidRDefault="00C959D1" w:rsidP="00D249AC">
            <w:pPr>
              <w:spacing w:after="160" w:line="259" w:lineRule="auto"/>
              <w:ind w:left="0" w:firstLine="0"/>
              <w:jc w:val="left"/>
            </w:pPr>
            <w:r>
              <w:t>Third paragraph on page 71</w:t>
            </w:r>
          </w:p>
        </w:tc>
        <w:tc>
          <w:tcPr>
            <w:tcW w:w="0" w:type="auto"/>
          </w:tcPr>
          <w:p w14:paraId="654E8650" w14:textId="3E8CBE16" w:rsidR="00E26C1E" w:rsidRDefault="00C959D1" w:rsidP="00E0560F">
            <w:pPr>
              <w:spacing w:after="160" w:line="259" w:lineRule="auto"/>
              <w:jc w:val="left"/>
            </w:pPr>
            <w:r>
              <w:t>Replace ES</w:t>
            </w:r>
            <w:r w:rsidRPr="00C959D1">
              <w:rPr>
                <w:strike/>
              </w:rPr>
              <w:t>3</w:t>
            </w:r>
            <w:r>
              <w:t>(c) with ES</w:t>
            </w:r>
            <w:r w:rsidRPr="00C959D1">
              <w:rPr>
                <w:b/>
                <w:bCs/>
              </w:rPr>
              <w:t>1</w:t>
            </w:r>
            <w:r>
              <w:t>(c)</w:t>
            </w:r>
            <w:r w:rsidR="00334700">
              <w:t>.</w:t>
            </w:r>
          </w:p>
        </w:tc>
      </w:tr>
      <w:tr w:rsidR="00E26C1E" w14:paraId="29EC9866" w14:textId="77777777" w:rsidTr="003C5B31">
        <w:trPr>
          <w:trHeight w:val="28"/>
        </w:trPr>
        <w:tc>
          <w:tcPr>
            <w:tcW w:w="0" w:type="auto"/>
          </w:tcPr>
          <w:p w14:paraId="22B08B05" w14:textId="2B79E3F4" w:rsidR="00E26C1E" w:rsidRDefault="00E26C1E" w:rsidP="00D249AC">
            <w:pPr>
              <w:spacing w:after="160" w:line="259" w:lineRule="auto"/>
              <w:ind w:left="0" w:firstLine="0"/>
              <w:jc w:val="left"/>
            </w:pPr>
            <w:r>
              <w:t>PM1</w:t>
            </w:r>
            <w:r w:rsidR="00390553">
              <w:t>6</w:t>
            </w:r>
          </w:p>
        </w:tc>
        <w:tc>
          <w:tcPr>
            <w:tcW w:w="0" w:type="auto"/>
          </w:tcPr>
          <w:p w14:paraId="7E47D168" w14:textId="77777777" w:rsidR="00E26C1E" w:rsidRDefault="00C959D1" w:rsidP="00D249AC">
            <w:pPr>
              <w:spacing w:after="160" w:line="259" w:lineRule="auto"/>
              <w:ind w:left="0" w:firstLine="0"/>
              <w:jc w:val="left"/>
            </w:pPr>
            <w:r>
              <w:t>Policy ES2</w:t>
            </w:r>
          </w:p>
          <w:p w14:paraId="69D20878" w14:textId="4474455C" w:rsidR="00C959D1" w:rsidRDefault="00C959D1" w:rsidP="00D249AC">
            <w:pPr>
              <w:spacing w:after="160" w:line="259" w:lineRule="auto"/>
              <w:ind w:left="0" w:firstLine="0"/>
              <w:jc w:val="left"/>
            </w:pPr>
            <w:r>
              <w:t>Page 72</w:t>
            </w:r>
          </w:p>
        </w:tc>
        <w:tc>
          <w:tcPr>
            <w:tcW w:w="0" w:type="auto"/>
          </w:tcPr>
          <w:p w14:paraId="4CEC0201" w14:textId="77777777" w:rsidR="00E26C1E" w:rsidRDefault="00C959D1" w:rsidP="00E0560F">
            <w:pPr>
              <w:spacing w:after="160" w:line="259" w:lineRule="auto"/>
              <w:jc w:val="left"/>
            </w:pPr>
            <w:r>
              <w:t>Amend start of policy to read:</w:t>
            </w:r>
          </w:p>
          <w:p w14:paraId="399BD2A3" w14:textId="1BE5013A" w:rsidR="00C959D1" w:rsidRDefault="00C959D1" w:rsidP="002C72B5">
            <w:pPr>
              <w:spacing w:after="160" w:line="259" w:lineRule="auto"/>
              <w:ind w:left="24" w:hanging="24"/>
              <w:jc w:val="left"/>
            </w:pPr>
            <w:r>
              <w:t>Protect</w:t>
            </w:r>
            <w:r w:rsidRPr="00C959D1">
              <w:rPr>
                <w:strike/>
              </w:rPr>
              <w:t>, promote</w:t>
            </w:r>
            <w:r>
              <w:t xml:space="preserve"> and increase the number of healthy trees …..</w:t>
            </w:r>
          </w:p>
        </w:tc>
      </w:tr>
      <w:tr w:rsidR="00E26C1E" w14:paraId="28A2A9BB" w14:textId="77777777" w:rsidTr="003C5B31">
        <w:trPr>
          <w:trHeight w:val="28"/>
        </w:trPr>
        <w:tc>
          <w:tcPr>
            <w:tcW w:w="0" w:type="auto"/>
          </w:tcPr>
          <w:p w14:paraId="32D48DD7" w14:textId="0BE04F1F" w:rsidR="00E26C1E" w:rsidRDefault="00E26C1E" w:rsidP="00D249AC">
            <w:pPr>
              <w:spacing w:after="160" w:line="259" w:lineRule="auto"/>
              <w:ind w:left="0" w:firstLine="0"/>
              <w:jc w:val="left"/>
            </w:pPr>
            <w:r>
              <w:t>PM1</w:t>
            </w:r>
            <w:r w:rsidR="00FF1917">
              <w:t>7</w:t>
            </w:r>
          </w:p>
        </w:tc>
        <w:tc>
          <w:tcPr>
            <w:tcW w:w="0" w:type="auto"/>
          </w:tcPr>
          <w:p w14:paraId="56487B9C" w14:textId="77777777" w:rsidR="00E26C1E" w:rsidRDefault="00C959D1" w:rsidP="00D249AC">
            <w:pPr>
              <w:spacing w:after="160" w:line="259" w:lineRule="auto"/>
              <w:ind w:left="0" w:firstLine="0"/>
              <w:jc w:val="left"/>
            </w:pPr>
            <w:r>
              <w:t>Policy TS1</w:t>
            </w:r>
          </w:p>
          <w:p w14:paraId="1F5231B2" w14:textId="5C4AA752" w:rsidR="00C959D1" w:rsidRDefault="00C959D1" w:rsidP="00D249AC">
            <w:pPr>
              <w:spacing w:after="160" w:line="259" w:lineRule="auto"/>
              <w:ind w:left="0" w:firstLine="0"/>
              <w:jc w:val="left"/>
            </w:pPr>
            <w:r>
              <w:t>Page 83</w:t>
            </w:r>
          </w:p>
        </w:tc>
        <w:tc>
          <w:tcPr>
            <w:tcW w:w="0" w:type="auto"/>
          </w:tcPr>
          <w:p w14:paraId="38FD9C8E" w14:textId="77777777" w:rsidR="00E26C1E" w:rsidRDefault="00C959D1" w:rsidP="00E0560F">
            <w:pPr>
              <w:spacing w:after="160" w:line="259" w:lineRule="auto"/>
              <w:jc w:val="left"/>
            </w:pPr>
            <w:r>
              <w:t>Amend sub-section (a) to read:</w:t>
            </w:r>
          </w:p>
          <w:p w14:paraId="2F49432C" w14:textId="6B378278" w:rsidR="00C959D1" w:rsidRDefault="00C959D1" w:rsidP="002C72B5">
            <w:pPr>
              <w:spacing w:after="160" w:line="259" w:lineRule="auto"/>
              <w:ind w:left="0" w:firstLine="0"/>
              <w:jc w:val="left"/>
            </w:pPr>
            <w:r>
              <w:t xml:space="preserve">Where the developer is responsible for entrances to and exits from a development, providing </w:t>
            </w:r>
            <w:r w:rsidRPr="001F2BDC">
              <w:rPr>
                <w:strike/>
              </w:rPr>
              <w:t>continuous footways a</w:t>
            </w:r>
            <w:r w:rsidR="001F2BDC" w:rsidRPr="001F2BDC">
              <w:rPr>
                <w:strike/>
              </w:rPr>
              <w:t>n</w:t>
            </w:r>
            <w:r w:rsidRPr="001F2BDC">
              <w:rPr>
                <w:strike/>
              </w:rPr>
              <w:t>d cycleways</w:t>
            </w:r>
            <w:r>
              <w:t xml:space="preserve"> </w:t>
            </w:r>
            <w:r w:rsidRPr="001F2BDC">
              <w:rPr>
                <w:b/>
                <w:bCs/>
              </w:rPr>
              <w:t>vehicle crossovers</w:t>
            </w:r>
            <w:r w:rsidR="001F2BDC">
              <w:t xml:space="preserve"> across those entrances and exits, </w:t>
            </w:r>
            <w:r w:rsidR="00944F6E">
              <w:t>such</w:t>
            </w:r>
            <w:r w:rsidR="001F2BDC">
              <w:t xml:space="preserve"> that drivers give way to pedestrians and </w:t>
            </w:r>
            <w:r w:rsidR="001F2BDC" w:rsidRPr="001F2BDC">
              <w:rPr>
                <w:b/>
                <w:bCs/>
              </w:rPr>
              <w:t>where appropriate cyclists</w:t>
            </w:r>
            <w:r w:rsidR="001F2BDC">
              <w:rPr>
                <w:b/>
                <w:bCs/>
              </w:rPr>
              <w:t>.</w:t>
            </w:r>
          </w:p>
        </w:tc>
      </w:tr>
      <w:tr w:rsidR="00E26C1E" w14:paraId="359F9307" w14:textId="77777777" w:rsidTr="003C5B31">
        <w:trPr>
          <w:trHeight w:val="28"/>
        </w:trPr>
        <w:tc>
          <w:tcPr>
            <w:tcW w:w="0" w:type="auto"/>
          </w:tcPr>
          <w:p w14:paraId="3C2E5E2C" w14:textId="32721092" w:rsidR="00E26C1E" w:rsidRDefault="00E26C1E" w:rsidP="00D249AC">
            <w:pPr>
              <w:spacing w:after="160" w:line="259" w:lineRule="auto"/>
              <w:ind w:left="0" w:firstLine="0"/>
              <w:jc w:val="left"/>
            </w:pPr>
            <w:r>
              <w:t>PM</w:t>
            </w:r>
            <w:r w:rsidR="00FF1917">
              <w:t>1</w:t>
            </w:r>
            <w:r w:rsidR="00944F6E">
              <w:t>8</w:t>
            </w:r>
          </w:p>
        </w:tc>
        <w:tc>
          <w:tcPr>
            <w:tcW w:w="0" w:type="auto"/>
          </w:tcPr>
          <w:p w14:paraId="6421E765" w14:textId="77777777" w:rsidR="00E26C1E" w:rsidRDefault="001F2BDC" w:rsidP="00D249AC">
            <w:pPr>
              <w:spacing w:after="160" w:line="259" w:lineRule="auto"/>
              <w:ind w:left="0" w:firstLine="0"/>
              <w:jc w:val="left"/>
            </w:pPr>
            <w:r>
              <w:t>Policy TS3</w:t>
            </w:r>
          </w:p>
          <w:p w14:paraId="59DF94C0" w14:textId="592FD6E7" w:rsidR="001F2BDC" w:rsidRDefault="001F2BDC" w:rsidP="00D249AC">
            <w:pPr>
              <w:spacing w:after="160" w:line="259" w:lineRule="auto"/>
              <w:ind w:left="0" w:firstLine="0"/>
              <w:jc w:val="left"/>
            </w:pPr>
            <w:r>
              <w:t>Page 87</w:t>
            </w:r>
          </w:p>
        </w:tc>
        <w:tc>
          <w:tcPr>
            <w:tcW w:w="0" w:type="auto"/>
          </w:tcPr>
          <w:p w14:paraId="26C107A6" w14:textId="38651B33" w:rsidR="00E26C1E" w:rsidRDefault="001F2BDC" w:rsidP="002C72B5">
            <w:pPr>
              <w:spacing w:after="160" w:line="259" w:lineRule="auto"/>
              <w:ind w:left="24" w:hanging="24"/>
              <w:jc w:val="left"/>
            </w:pPr>
            <w:r>
              <w:t xml:space="preserve">Delete </w:t>
            </w:r>
            <w:r w:rsidRPr="001F2BDC">
              <w:rPr>
                <w:strike/>
              </w:rPr>
              <w:t>(and not merely convenient)</w:t>
            </w:r>
            <w:r>
              <w:t xml:space="preserve"> from sub-section (a)</w:t>
            </w:r>
            <w:r w:rsidR="00334700">
              <w:t>.</w:t>
            </w:r>
          </w:p>
          <w:p w14:paraId="715A70A0" w14:textId="19D138C4" w:rsidR="001F2BDC" w:rsidRDefault="00D50D03" w:rsidP="002C72B5">
            <w:pPr>
              <w:spacing w:after="160" w:line="259" w:lineRule="auto"/>
              <w:ind w:left="0" w:firstLine="0"/>
              <w:jc w:val="left"/>
            </w:pPr>
            <w:r>
              <w:t xml:space="preserve">Delete all of </w:t>
            </w:r>
            <w:r w:rsidR="001F2BDC">
              <w:t xml:space="preserve">Sub-section (c) </w:t>
            </w:r>
            <w:r>
              <w:t>and place the ‘and’ after sub-section (a)</w:t>
            </w:r>
            <w:r w:rsidR="00334700">
              <w:t>.</w:t>
            </w:r>
          </w:p>
        </w:tc>
      </w:tr>
      <w:tr w:rsidR="009A7CA8" w14:paraId="0743D8FD" w14:textId="77777777" w:rsidTr="007E07B1">
        <w:trPr>
          <w:trHeight w:val="928"/>
        </w:trPr>
        <w:tc>
          <w:tcPr>
            <w:tcW w:w="0" w:type="auto"/>
          </w:tcPr>
          <w:p w14:paraId="3A882E44" w14:textId="364513DB" w:rsidR="009A7CA8" w:rsidRDefault="009A7CA8" w:rsidP="001B41A7">
            <w:pPr>
              <w:spacing w:after="160" w:line="259" w:lineRule="auto"/>
              <w:ind w:left="0" w:firstLine="0"/>
              <w:jc w:val="left"/>
            </w:pPr>
            <w:r>
              <w:t>PM19</w:t>
            </w:r>
          </w:p>
        </w:tc>
        <w:tc>
          <w:tcPr>
            <w:tcW w:w="0" w:type="auto"/>
          </w:tcPr>
          <w:p w14:paraId="1563C8CA" w14:textId="127D48FA" w:rsidR="009A7CA8" w:rsidRDefault="00B71615" w:rsidP="001B41A7">
            <w:pPr>
              <w:spacing w:after="160" w:line="259" w:lineRule="auto"/>
              <w:ind w:left="0" w:firstLine="0"/>
              <w:jc w:val="left"/>
            </w:pPr>
            <w:r>
              <w:t xml:space="preserve">Second paragraph on page 89 </w:t>
            </w:r>
          </w:p>
        </w:tc>
        <w:tc>
          <w:tcPr>
            <w:tcW w:w="0" w:type="auto"/>
          </w:tcPr>
          <w:p w14:paraId="301A97F2" w14:textId="59014E4D" w:rsidR="009A7CA8" w:rsidRDefault="005F3CE7" w:rsidP="007E07B1">
            <w:pPr>
              <w:spacing w:line="259" w:lineRule="auto"/>
              <w:ind w:left="0" w:firstLine="0"/>
              <w:jc w:val="left"/>
            </w:pPr>
            <w:r>
              <w:t xml:space="preserve">Add a sentence to the paragraph to read: </w:t>
            </w:r>
            <w:r w:rsidRPr="009A7CA8">
              <w:rPr>
                <w:b/>
                <w:bCs/>
              </w:rPr>
              <w:t>These aspirations do not form part of the Development Plan.</w:t>
            </w:r>
          </w:p>
        </w:tc>
      </w:tr>
      <w:tr w:rsidR="009A7CA8" w14:paraId="469C4853" w14:textId="77777777" w:rsidTr="003C5B31">
        <w:trPr>
          <w:trHeight w:val="1170"/>
        </w:trPr>
        <w:tc>
          <w:tcPr>
            <w:tcW w:w="0" w:type="auto"/>
          </w:tcPr>
          <w:p w14:paraId="1329B8E1" w14:textId="2A0992D7" w:rsidR="009A7CA8" w:rsidRDefault="009A7CA8" w:rsidP="001B41A7">
            <w:pPr>
              <w:spacing w:after="160" w:line="259" w:lineRule="auto"/>
              <w:ind w:left="0" w:firstLine="0"/>
              <w:jc w:val="left"/>
            </w:pPr>
            <w:r>
              <w:t>PM20</w:t>
            </w:r>
          </w:p>
        </w:tc>
        <w:tc>
          <w:tcPr>
            <w:tcW w:w="0" w:type="auto"/>
          </w:tcPr>
          <w:p w14:paraId="47FE55E9" w14:textId="77777777" w:rsidR="005F3CE7" w:rsidRDefault="005F3CE7" w:rsidP="005F3CE7">
            <w:pPr>
              <w:spacing w:after="160" w:line="259" w:lineRule="auto"/>
              <w:ind w:left="0" w:firstLine="0"/>
              <w:jc w:val="left"/>
            </w:pPr>
            <w:r>
              <w:t>Policy SNS1</w:t>
            </w:r>
          </w:p>
          <w:p w14:paraId="42A6453D" w14:textId="0332ABC8" w:rsidR="009A7CA8" w:rsidRDefault="005F3CE7" w:rsidP="005F3CE7">
            <w:pPr>
              <w:spacing w:after="160" w:line="259" w:lineRule="auto"/>
              <w:ind w:left="0" w:firstLine="0"/>
              <w:jc w:val="left"/>
            </w:pPr>
            <w:r>
              <w:t>Page 91</w:t>
            </w:r>
          </w:p>
        </w:tc>
        <w:tc>
          <w:tcPr>
            <w:tcW w:w="0" w:type="auto"/>
          </w:tcPr>
          <w:p w14:paraId="2225BCA9" w14:textId="77777777" w:rsidR="005F3CE7" w:rsidRDefault="005F3CE7" w:rsidP="005F3CE7">
            <w:pPr>
              <w:spacing w:after="160" w:line="259" w:lineRule="auto"/>
              <w:ind w:left="0" w:firstLine="0"/>
              <w:jc w:val="left"/>
            </w:pPr>
            <w:r>
              <w:t xml:space="preserve">Delete the shaded box but retain the text currently within it, with the exception of </w:t>
            </w:r>
            <w:r w:rsidRPr="00D4364C">
              <w:rPr>
                <w:strike/>
              </w:rPr>
              <w:t>Policy SNS1</w:t>
            </w:r>
            <w:r>
              <w:t xml:space="preserve">which should be deleted. </w:t>
            </w:r>
          </w:p>
          <w:p w14:paraId="7FBB1186" w14:textId="1CC36D53" w:rsidR="009A7CA8" w:rsidRDefault="005F3CE7" w:rsidP="005F3CE7">
            <w:pPr>
              <w:spacing w:after="160" w:line="259" w:lineRule="auto"/>
              <w:ind w:left="0" w:firstLine="0"/>
              <w:jc w:val="left"/>
            </w:pPr>
            <w:r>
              <w:t xml:space="preserve">In last paragraph on page 91 delete: </w:t>
            </w:r>
            <w:r w:rsidRPr="0095361C">
              <w:rPr>
                <w:strike/>
              </w:rPr>
              <w:t>Justification for policy SNS1: This policy aims</w:t>
            </w:r>
            <w:r>
              <w:rPr>
                <w:strike/>
              </w:rPr>
              <w:t xml:space="preserve"> </w:t>
            </w:r>
            <w:r>
              <w:t xml:space="preserve">and insert: </w:t>
            </w:r>
            <w:r w:rsidRPr="0095361C">
              <w:rPr>
                <w:b/>
                <w:bCs/>
              </w:rPr>
              <w:t xml:space="preserve">The aim is </w:t>
            </w:r>
            <w:r w:rsidRPr="0095361C">
              <w:t>to</w:t>
            </w:r>
            <w:r>
              <w:t xml:space="preserve"> provide a mechanism …….</w:t>
            </w:r>
          </w:p>
        </w:tc>
      </w:tr>
      <w:tr w:rsidR="00E26C1E" w14:paraId="6C508584" w14:textId="77777777" w:rsidTr="003C5B31">
        <w:trPr>
          <w:trHeight w:val="28"/>
        </w:trPr>
        <w:tc>
          <w:tcPr>
            <w:tcW w:w="0" w:type="auto"/>
          </w:tcPr>
          <w:p w14:paraId="45D83268" w14:textId="2A36122B" w:rsidR="00E26C1E" w:rsidRDefault="00E26C1E" w:rsidP="00D249AC">
            <w:pPr>
              <w:spacing w:after="160" w:line="259" w:lineRule="auto"/>
              <w:ind w:left="0" w:firstLine="0"/>
              <w:jc w:val="left"/>
            </w:pPr>
            <w:r>
              <w:t>PM2</w:t>
            </w:r>
            <w:r w:rsidR="009A7CA8">
              <w:t>1</w:t>
            </w:r>
          </w:p>
        </w:tc>
        <w:tc>
          <w:tcPr>
            <w:tcW w:w="0" w:type="auto"/>
          </w:tcPr>
          <w:p w14:paraId="14EB2DE3" w14:textId="77777777" w:rsidR="00E26C1E" w:rsidRDefault="00394A99" w:rsidP="00D249AC">
            <w:pPr>
              <w:spacing w:after="160" w:line="259" w:lineRule="auto"/>
              <w:ind w:left="0" w:firstLine="0"/>
              <w:jc w:val="left"/>
            </w:pPr>
            <w:r>
              <w:t>Section 10.1</w:t>
            </w:r>
          </w:p>
          <w:p w14:paraId="1212A8D5" w14:textId="40B967A4" w:rsidR="00394A99" w:rsidRDefault="00394A99" w:rsidP="00D249AC">
            <w:pPr>
              <w:spacing w:after="160" w:line="259" w:lineRule="auto"/>
              <w:ind w:left="0" w:firstLine="0"/>
              <w:jc w:val="left"/>
            </w:pPr>
            <w:r>
              <w:t>Page 105</w:t>
            </w:r>
          </w:p>
        </w:tc>
        <w:tc>
          <w:tcPr>
            <w:tcW w:w="0" w:type="auto"/>
          </w:tcPr>
          <w:p w14:paraId="3AC6F1BF" w14:textId="77777777" w:rsidR="00334700" w:rsidRDefault="00394A99" w:rsidP="002C72B5">
            <w:pPr>
              <w:spacing w:after="160" w:line="259" w:lineRule="auto"/>
              <w:ind w:left="0" w:firstLine="0"/>
              <w:jc w:val="left"/>
            </w:pPr>
            <w:r>
              <w:t xml:space="preserve">Add a new sentence at the end of section 10.1 to read: </w:t>
            </w:r>
          </w:p>
          <w:p w14:paraId="70E3C02E" w14:textId="0A7B6463" w:rsidR="00E26C1E" w:rsidRDefault="00394A99" w:rsidP="002C72B5">
            <w:pPr>
              <w:spacing w:after="160" w:line="259" w:lineRule="auto"/>
              <w:ind w:left="0" w:firstLine="0"/>
              <w:jc w:val="left"/>
            </w:pPr>
            <w:r w:rsidRPr="004614DE">
              <w:rPr>
                <w:b/>
                <w:bCs/>
              </w:rPr>
              <w:t xml:space="preserve">The DPNF will continue to co-ordinate community responses to planning and related issues; will work alongside and co-ordinate with </w:t>
            </w:r>
            <w:r w:rsidRPr="004614DE">
              <w:rPr>
                <w:b/>
                <w:bCs/>
              </w:rPr>
              <w:lastRenderedPageBreak/>
              <w:t>the Dartmouth Park Conservation Area Advisory Committee where appropriate; and will focus on delivering the Projects identified in the DPNP as opportunities arise.</w:t>
            </w:r>
          </w:p>
        </w:tc>
      </w:tr>
      <w:tr w:rsidR="00390553" w14:paraId="2521D319" w14:textId="77777777" w:rsidTr="003C5B31">
        <w:trPr>
          <w:trHeight w:val="367"/>
        </w:trPr>
        <w:tc>
          <w:tcPr>
            <w:tcW w:w="0" w:type="auto"/>
          </w:tcPr>
          <w:p w14:paraId="0774D02B" w14:textId="47CAF209" w:rsidR="00390553" w:rsidRDefault="00390553" w:rsidP="00D249AC">
            <w:pPr>
              <w:spacing w:after="160" w:line="259" w:lineRule="auto"/>
              <w:ind w:left="0" w:firstLine="0"/>
              <w:jc w:val="left"/>
            </w:pPr>
            <w:r>
              <w:lastRenderedPageBreak/>
              <w:t>PM2</w:t>
            </w:r>
            <w:r w:rsidR="009A7CA8">
              <w:t>2</w:t>
            </w:r>
          </w:p>
        </w:tc>
        <w:tc>
          <w:tcPr>
            <w:tcW w:w="0" w:type="auto"/>
          </w:tcPr>
          <w:p w14:paraId="2762B1F4" w14:textId="63DF2FBF" w:rsidR="00390553" w:rsidRDefault="00390553" w:rsidP="00D249AC">
            <w:pPr>
              <w:spacing w:after="160" w:line="259" w:lineRule="auto"/>
              <w:ind w:left="0" w:firstLine="0"/>
              <w:jc w:val="left"/>
            </w:pPr>
            <w:r>
              <w:t>All ‘Figures’ within the DPNP</w:t>
            </w:r>
          </w:p>
        </w:tc>
        <w:tc>
          <w:tcPr>
            <w:tcW w:w="0" w:type="auto"/>
          </w:tcPr>
          <w:p w14:paraId="241ABE5A" w14:textId="77777777" w:rsidR="00390553" w:rsidRDefault="00390553" w:rsidP="00390553">
            <w:pPr>
              <w:spacing w:after="160" w:line="259" w:lineRule="auto"/>
              <w:ind w:left="0" w:firstLine="0"/>
              <w:jc w:val="left"/>
            </w:pPr>
            <w:r>
              <w:t>All plans within the document (titled Figures) should show a consistent NP boundary as identified on Fig 1A.</w:t>
            </w:r>
          </w:p>
          <w:p w14:paraId="31055172" w14:textId="77777777" w:rsidR="00390553" w:rsidRDefault="00390553" w:rsidP="00390553">
            <w:pPr>
              <w:spacing w:after="160" w:line="259" w:lineRule="auto"/>
              <w:ind w:left="0" w:firstLine="0"/>
              <w:jc w:val="left"/>
            </w:pPr>
            <w:r>
              <w:t>All plans should be at a larger scale to ease interpretation.</w:t>
            </w:r>
          </w:p>
          <w:p w14:paraId="10519730" w14:textId="5EC32C02" w:rsidR="00390553" w:rsidRDefault="001F5B5A" w:rsidP="002C72B5">
            <w:pPr>
              <w:spacing w:after="160" w:line="259" w:lineRule="auto"/>
              <w:ind w:left="24" w:hanging="24"/>
              <w:jc w:val="left"/>
            </w:pPr>
            <w:r>
              <w:t>Fig</w:t>
            </w:r>
            <w:r w:rsidR="00390553">
              <w:t xml:space="preserve"> 6A should have the names of the Neighbourhood Centres added.</w:t>
            </w:r>
          </w:p>
        </w:tc>
      </w:tr>
    </w:tbl>
    <w:p w14:paraId="6060723D" w14:textId="77777777" w:rsidR="003C5B31" w:rsidRDefault="003C5B31" w:rsidP="00D249AC">
      <w:pPr>
        <w:spacing w:after="160" w:line="259" w:lineRule="auto"/>
        <w:jc w:val="left"/>
      </w:pPr>
    </w:p>
    <w:p w14:paraId="37783740" w14:textId="77777777" w:rsidR="00F9341E" w:rsidRPr="000F0387" w:rsidRDefault="00F9341E" w:rsidP="00F9341E">
      <w:pPr>
        <w:spacing w:after="160" w:line="259" w:lineRule="auto"/>
        <w:jc w:val="left"/>
        <w:rPr>
          <w:b/>
          <w:i/>
        </w:rPr>
      </w:pPr>
    </w:p>
    <w:p w14:paraId="19EC6306" w14:textId="77777777" w:rsidR="00A67E7B" w:rsidRDefault="00A67E7B" w:rsidP="00D249AC">
      <w:pPr>
        <w:ind w:firstLine="0"/>
      </w:pPr>
    </w:p>
    <w:sectPr w:rsidR="00A67E7B" w:rsidSect="003D43E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63098" w14:textId="77777777" w:rsidR="007E07B1" w:rsidRDefault="007E07B1" w:rsidP="00F82C24">
      <w:r>
        <w:separator/>
      </w:r>
    </w:p>
  </w:endnote>
  <w:endnote w:type="continuationSeparator" w:id="0">
    <w:p w14:paraId="1C569CEF" w14:textId="77777777" w:rsidR="007E07B1" w:rsidRDefault="007E07B1" w:rsidP="00F8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Microsoft JhengHei U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227398"/>
      <w:docPartObj>
        <w:docPartGallery w:val="Page Numbers (Bottom of Page)"/>
        <w:docPartUnique/>
      </w:docPartObj>
    </w:sdtPr>
    <w:sdtEndPr>
      <w:rPr>
        <w:noProof/>
      </w:rPr>
    </w:sdtEndPr>
    <w:sdtContent>
      <w:p w14:paraId="5B9D2DE5" w14:textId="6285D0E5" w:rsidR="007E07B1" w:rsidRPr="00D20769" w:rsidRDefault="007E07B1" w:rsidP="00E82D45">
        <w:pPr>
          <w:pStyle w:val="Footer"/>
          <w:jc w:val="center"/>
          <w:rPr>
            <w:rFonts w:ascii="Microsoft JhengHei UI" w:eastAsia="Microsoft JhengHei UI" w:hAnsi="Microsoft JhengHei UI"/>
            <w:color w:val="002060"/>
            <w:sz w:val="20"/>
          </w:rPr>
        </w:pPr>
        <w:r w:rsidRPr="00CB17B1">
          <w:rPr>
            <w:rFonts w:ascii="Microsoft JhengHei UI" w:eastAsia="Microsoft JhengHei UI" w:hAnsi="Microsoft JhengHei UI"/>
            <w:color w:val="002060"/>
            <w:sz w:val="20"/>
          </w:rPr>
          <w:t xml:space="preserve">Intelligent Plans and Examinations (IPE) Ltd, Regency Offices, </w:t>
        </w:r>
        <w:r>
          <w:rPr>
            <w:rFonts w:ascii="Microsoft JhengHei UI" w:eastAsia="Microsoft JhengHei UI" w:hAnsi="Microsoft JhengHei UI"/>
            <w:color w:val="002060"/>
            <w:sz w:val="20"/>
          </w:rPr>
          <w:t xml:space="preserve">37 Gay Street, Bath BA1 2NT </w:t>
        </w:r>
        <w:r w:rsidRPr="00CB17B1">
          <w:rPr>
            <w:rFonts w:ascii="Microsoft JhengHei UI" w:eastAsia="Microsoft JhengHei UI" w:hAnsi="Microsoft JhengHei UI"/>
            <w:color w:val="92D050"/>
            <w:sz w:val="16"/>
            <w:szCs w:val="16"/>
          </w:rPr>
          <w:t xml:space="preserve">Registered in England and Wales. Company Reg. No. </w:t>
        </w:r>
        <w:r>
          <w:rPr>
            <w:rFonts w:ascii="Microsoft JhengHei UI" w:eastAsia="Microsoft JhengHei UI" w:hAnsi="Microsoft JhengHei UI"/>
            <w:color w:val="92D050"/>
            <w:sz w:val="16"/>
            <w:szCs w:val="16"/>
          </w:rPr>
          <w:t>1</w:t>
        </w:r>
        <w:r w:rsidRPr="00CB17B1">
          <w:rPr>
            <w:rFonts w:ascii="Microsoft JhengHei UI" w:eastAsia="Microsoft JhengHei UI" w:hAnsi="Microsoft JhengHei UI"/>
            <w:color w:val="92D050"/>
            <w:sz w:val="16"/>
            <w:szCs w:val="16"/>
          </w:rPr>
          <w:t>0100118</w:t>
        </w:r>
        <w:r>
          <w:rPr>
            <w:rFonts w:ascii="Microsoft JhengHei UI" w:eastAsia="Microsoft JhengHei UI" w:hAnsi="Microsoft JhengHei UI"/>
            <w:color w:val="92D050"/>
            <w:sz w:val="16"/>
            <w:szCs w:val="16"/>
          </w:rPr>
          <w:t xml:space="preserve">. VAT Reg. No. </w:t>
        </w:r>
        <w:r w:rsidRPr="00D20769">
          <w:rPr>
            <w:rFonts w:ascii="Microsoft JhengHei UI" w:eastAsia="Microsoft JhengHei UI" w:hAnsi="Microsoft JhengHei UI"/>
            <w:color w:val="92D050"/>
            <w:sz w:val="16"/>
            <w:szCs w:val="16"/>
          </w:rPr>
          <w:t>237 7641 84</w:t>
        </w:r>
      </w:p>
      <w:p w14:paraId="37F691D1" w14:textId="30FF442F" w:rsidR="007E07B1" w:rsidRDefault="007E07B1" w:rsidP="00E82D45">
        <w:pPr>
          <w:pStyle w:val="Footer"/>
          <w:jc w:val="center"/>
        </w:pPr>
        <w:r>
          <w:fldChar w:fldCharType="begin"/>
        </w:r>
        <w:r>
          <w:instrText xml:space="preserve"> PAGE   \* MERGEFORMAT </w:instrText>
        </w:r>
        <w:r>
          <w:fldChar w:fldCharType="separate"/>
        </w:r>
        <w:r w:rsidR="00411606">
          <w:rPr>
            <w:noProof/>
          </w:rPr>
          <w:t>1</w:t>
        </w:r>
        <w:r>
          <w:rPr>
            <w:noProof/>
          </w:rPr>
          <w:fldChar w:fldCharType="end"/>
        </w:r>
      </w:p>
    </w:sdtContent>
  </w:sdt>
  <w:p w14:paraId="0944E0C9" w14:textId="77777777" w:rsidR="007E07B1" w:rsidRDefault="007E0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DDD70" w14:textId="77777777" w:rsidR="007E07B1" w:rsidRDefault="007E07B1" w:rsidP="00F82C24">
      <w:r>
        <w:separator/>
      </w:r>
    </w:p>
  </w:footnote>
  <w:footnote w:type="continuationSeparator" w:id="0">
    <w:p w14:paraId="0019FDD3" w14:textId="77777777" w:rsidR="007E07B1" w:rsidRDefault="007E07B1" w:rsidP="00F82C24">
      <w:r>
        <w:continuationSeparator/>
      </w:r>
    </w:p>
  </w:footnote>
  <w:footnote w:id="1">
    <w:p w14:paraId="746DF831" w14:textId="40F9784C" w:rsidR="007E07B1" w:rsidRDefault="007E07B1" w:rsidP="00F8204C">
      <w:pPr>
        <w:pStyle w:val="FootnoteText"/>
        <w:ind w:left="0" w:hanging="6"/>
        <w:jc w:val="left"/>
      </w:pPr>
      <w:r>
        <w:rPr>
          <w:rStyle w:val="FootnoteReference"/>
        </w:rPr>
        <w:footnoteRef/>
      </w:r>
      <w:r>
        <w:t xml:space="preserve"> This revised Basic Condition came into force on 28</w:t>
      </w:r>
      <w:r w:rsidRPr="006D22A6">
        <w:rPr>
          <w:vertAlign w:val="superscript"/>
        </w:rPr>
        <w:t>th</w:t>
      </w:r>
      <w:r>
        <w:t xml:space="preserve"> December through the Conservation of Habitats and Species and Planning (Various Amendments)(England and Wales) Regulations 2018.</w:t>
      </w:r>
    </w:p>
  </w:footnote>
  <w:footnote w:id="2">
    <w:p w14:paraId="2E37C282" w14:textId="0713F8B5" w:rsidR="007E07B1" w:rsidRPr="006D64E0" w:rsidRDefault="007E07B1" w:rsidP="006D64E0">
      <w:pPr>
        <w:pStyle w:val="FootnoteText"/>
        <w:ind w:left="0" w:firstLine="0"/>
        <w:rPr>
          <w:rFonts w:cstheme="minorHAnsi"/>
        </w:rPr>
      </w:pPr>
      <w:r>
        <w:rPr>
          <w:rStyle w:val="FootnoteReference"/>
        </w:rPr>
        <w:footnoteRef/>
      </w:r>
      <w:r>
        <w:t xml:space="preserve"> </w:t>
      </w:r>
      <w:r w:rsidRPr="006D64E0">
        <w:rPr>
          <w:rFonts w:cstheme="minorHAnsi"/>
          <w:color w:val="0B0C0C"/>
        </w:rPr>
        <w:t>P</w:t>
      </w:r>
      <w:r>
        <w:rPr>
          <w:rFonts w:cstheme="minorHAnsi"/>
          <w:color w:val="0B0C0C"/>
        </w:rPr>
        <w:t xml:space="preserve">PG </w:t>
      </w:r>
      <w:r w:rsidRPr="006D64E0">
        <w:rPr>
          <w:rFonts w:cstheme="minorHAnsi"/>
          <w:color w:val="0B0C0C"/>
        </w:rPr>
        <w:t>Reference ID:</w:t>
      </w:r>
      <w:r>
        <w:rPr>
          <w:rFonts w:cstheme="minorHAnsi"/>
          <w:color w:val="0B0C0C"/>
        </w:rPr>
        <w:t xml:space="preserve"> </w:t>
      </w:r>
      <w:r w:rsidRPr="006D64E0">
        <w:rPr>
          <w:rFonts w:cstheme="minorHAnsi"/>
          <w:color w:val="0B0C0C"/>
        </w:rPr>
        <w:t>41-009-20190509</w:t>
      </w:r>
      <w:r>
        <w:rPr>
          <w:rFonts w:cstheme="minorHAnsi"/>
          <w:color w:val="0B0C0C"/>
        </w:rPr>
        <w:t>.</w:t>
      </w:r>
    </w:p>
  </w:footnote>
  <w:footnote w:id="3">
    <w:p w14:paraId="10A4E113" w14:textId="5B00374A" w:rsidR="007E07B1" w:rsidRDefault="007E07B1" w:rsidP="0086111F">
      <w:pPr>
        <w:pStyle w:val="FootnoteText"/>
        <w:ind w:left="0" w:firstLine="0"/>
        <w:jc w:val="left"/>
      </w:pPr>
      <w:r>
        <w:rPr>
          <w:rStyle w:val="FootnoteReference"/>
        </w:rPr>
        <w:footnoteRef/>
      </w:r>
      <w:r>
        <w:t xml:space="preserve"> View at: </w:t>
      </w:r>
      <w:hyperlink r:id="rId1" w:history="1">
        <w:r w:rsidRPr="0079689A">
          <w:rPr>
            <w:rStyle w:val="Hyperlink"/>
          </w:rPr>
          <w:t>https://www.camden.gov.uk/web/guest/dartmouth-park-neighbourhood-forum</w:t>
        </w:r>
      </w:hyperlink>
    </w:p>
    <w:p w14:paraId="197F70A0" w14:textId="77777777" w:rsidR="007E07B1" w:rsidRDefault="007E07B1" w:rsidP="009B7BA6">
      <w:pPr>
        <w:pStyle w:val="FootnoteText"/>
        <w:jc w:val="left"/>
      </w:pPr>
    </w:p>
  </w:footnote>
  <w:footnote w:id="4">
    <w:p w14:paraId="1E0841E9" w14:textId="403590F2" w:rsidR="007E07B1" w:rsidRDefault="007E07B1">
      <w:pPr>
        <w:pStyle w:val="FootnoteText"/>
      </w:pPr>
      <w:r>
        <w:rPr>
          <w:rStyle w:val="FootnoteReference"/>
        </w:rPr>
        <w:footnoteRef/>
      </w:r>
      <w:r>
        <w:t xml:space="preserve"> E-mail dated 3 May 2019.</w:t>
      </w:r>
    </w:p>
  </w:footnote>
  <w:footnote w:id="5">
    <w:p w14:paraId="54D2E2D7" w14:textId="5E624FEE" w:rsidR="007E07B1" w:rsidRDefault="007E07B1">
      <w:pPr>
        <w:pStyle w:val="FootnoteText"/>
      </w:pPr>
      <w:r>
        <w:rPr>
          <w:rStyle w:val="FootnoteReference"/>
        </w:rPr>
        <w:footnoteRef/>
      </w:r>
      <w:r>
        <w:t xml:space="preserve"> </w:t>
      </w:r>
      <w:r w:rsidRPr="009F2A60">
        <w:t>Paragraph 5.9 of the Basic Conditions Statement (Jan</w:t>
      </w:r>
      <w:r>
        <w:t>uary</w:t>
      </w:r>
      <w:r w:rsidRPr="009F2A60">
        <w:t xml:space="preserve"> 2019)</w:t>
      </w:r>
      <w:r>
        <w:t>.</w:t>
      </w:r>
    </w:p>
  </w:footnote>
  <w:footnote w:id="6">
    <w:p w14:paraId="0B221713" w14:textId="24D96FF0" w:rsidR="007E07B1" w:rsidRDefault="007E07B1">
      <w:pPr>
        <w:pStyle w:val="FootnoteText"/>
      </w:pPr>
      <w:r>
        <w:rPr>
          <w:rStyle w:val="FootnoteReference"/>
        </w:rPr>
        <w:footnoteRef/>
      </w:r>
      <w:r>
        <w:t xml:space="preserve"> Letter to London Borough of Camden dated 16 April 2019.</w:t>
      </w:r>
    </w:p>
  </w:footnote>
  <w:footnote w:id="7">
    <w:p w14:paraId="1219B649" w14:textId="6017DE98" w:rsidR="007E07B1" w:rsidRDefault="007E07B1">
      <w:pPr>
        <w:pStyle w:val="FootnoteText"/>
      </w:pPr>
      <w:r>
        <w:rPr>
          <w:rStyle w:val="FootnoteReference"/>
        </w:rPr>
        <w:footnoteRef/>
      </w:r>
      <w:r>
        <w:t xml:space="preserve"> 2012 NPPF, paragraph 7.</w:t>
      </w:r>
    </w:p>
  </w:footnote>
  <w:footnote w:id="8">
    <w:p w14:paraId="62AAD809" w14:textId="6817DA33" w:rsidR="007E07B1" w:rsidRDefault="007E07B1">
      <w:pPr>
        <w:pStyle w:val="FootnoteText"/>
      </w:pPr>
      <w:r>
        <w:rPr>
          <w:rStyle w:val="FootnoteReference"/>
        </w:rPr>
        <w:footnoteRef/>
      </w:r>
      <w:r>
        <w:t xml:space="preserve"> See page 13 of Basic Conditions Statement.</w:t>
      </w:r>
    </w:p>
  </w:footnote>
  <w:footnote w:id="9">
    <w:p w14:paraId="3A2F6CDF" w14:textId="3255EB20" w:rsidR="007E07B1" w:rsidRDefault="007E07B1" w:rsidP="000171B6">
      <w:pPr>
        <w:pStyle w:val="FootnoteText"/>
        <w:jc w:val="left"/>
      </w:pPr>
      <w:r>
        <w:rPr>
          <w:rStyle w:val="FootnoteReference"/>
        </w:rPr>
        <w:footnoteRef/>
      </w:r>
      <w:r>
        <w:t xml:space="preserve"> </w:t>
      </w:r>
      <w:r w:rsidRPr="000171B6">
        <w:rPr>
          <w:rFonts w:cs="Arial"/>
          <w:color w:val="0B0C0C"/>
        </w:rPr>
        <w:t>PPG Reference ID: 41-041-20140306</w:t>
      </w:r>
      <w:r>
        <w:rPr>
          <w:rFonts w:cs="Arial"/>
          <w:color w:val="0B0C0C"/>
        </w:rPr>
        <w:t>.</w:t>
      </w:r>
    </w:p>
  </w:footnote>
  <w:footnote w:id="10">
    <w:p w14:paraId="34F73B8C" w14:textId="3E1E05D9" w:rsidR="007E07B1" w:rsidRDefault="007E07B1">
      <w:pPr>
        <w:pStyle w:val="FootnoteText"/>
      </w:pPr>
      <w:r>
        <w:rPr>
          <w:rStyle w:val="FootnoteReference"/>
        </w:rPr>
        <w:footnoteRef/>
      </w:r>
      <w:r>
        <w:t xml:space="preserve"> Dartmouth Park Conservation Area.</w:t>
      </w:r>
    </w:p>
  </w:footnote>
  <w:footnote w:id="11">
    <w:p w14:paraId="0CF0FAC9" w14:textId="71E45791" w:rsidR="007E07B1" w:rsidRDefault="007E07B1">
      <w:pPr>
        <w:pStyle w:val="FootnoteText"/>
      </w:pPr>
      <w:r>
        <w:rPr>
          <w:rStyle w:val="FootnoteReference"/>
        </w:rPr>
        <w:footnoteRef/>
      </w:r>
      <w:r>
        <w:t xml:space="preserve"> Business use.</w:t>
      </w:r>
    </w:p>
  </w:footnote>
  <w:footnote w:id="12">
    <w:p w14:paraId="09D1B0A6" w14:textId="7A703152" w:rsidR="007E07B1" w:rsidRDefault="007E07B1">
      <w:pPr>
        <w:pStyle w:val="FootnoteText"/>
      </w:pPr>
      <w:r>
        <w:rPr>
          <w:rStyle w:val="FootnoteReference"/>
        </w:rPr>
        <w:footnoteRef/>
      </w:r>
      <w:r>
        <w:t xml:space="preserve"> Community Infrastructure Levy.</w:t>
      </w:r>
    </w:p>
  </w:footnote>
  <w:footnote w:id="13">
    <w:p w14:paraId="0DC8875A" w14:textId="670E86F6" w:rsidR="007E07B1" w:rsidRDefault="007E07B1">
      <w:pPr>
        <w:pStyle w:val="FootnoteText"/>
      </w:pPr>
      <w:r>
        <w:rPr>
          <w:rStyle w:val="FootnoteReference"/>
        </w:rPr>
        <w:footnoteRef/>
      </w:r>
      <w:r>
        <w:t xml:space="preserve"> PPG Reference ID: 41-004-20190509.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ABD"/>
    <w:multiLevelType w:val="hybridMultilevel"/>
    <w:tmpl w:val="CC7A190C"/>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 w15:restartNumberingAfterBreak="0">
    <w:nsid w:val="036B4447"/>
    <w:multiLevelType w:val="hybridMultilevel"/>
    <w:tmpl w:val="3082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95B"/>
    <w:multiLevelType w:val="hybridMultilevel"/>
    <w:tmpl w:val="8710D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F0923"/>
    <w:multiLevelType w:val="hybridMultilevel"/>
    <w:tmpl w:val="40C08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078E"/>
    <w:multiLevelType w:val="hybridMultilevel"/>
    <w:tmpl w:val="240C5186"/>
    <w:lvl w:ilvl="0" w:tplc="1582725A">
      <w:start w:val="3"/>
      <w:numFmt w:val="bullet"/>
      <w:lvlText w:val="-"/>
      <w:lvlJc w:val="left"/>
      <w:pPr>
        <w:ind w:left="2138" w:hanging="360"/>
      </w:pPr>
      <w:rPr>
        <w:rFonts w:ascii="Calibri" w:eastAsia="Times New Roman" w:hAnsi="Calibri" w:cs="Times New Roman"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1BC765F9"/>
    <w:multiLevelType w:val="hybridMultilevel"/>
    <w:tmpl w:val="9E20C06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40BB8"/>
    <w:multiLevelType w:val="hybridMultilevel"/>
    <w:tmpl w:val="BECE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E218C"/>
    <w:multiLevelType w:val="hybridMultilevel"/>
    <w:tmpl w:val="3BDC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B7F4C"/>
    <w:multiLevelType w:val="hybridMultilevel"/>
    <w:tmpl w:val="B04E1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8A7139"/>
    <w:multiLevelType w:val="hybridMultilevel"/>
    <w:tmpl w:val="DE5E4312"/>
    <w:lvl w:ilvl="0" w:tplc="1582725A">
      <w:start w:val="3"/>
      <w:numFmt w:val="bullet"/>
      <w:lvlText w:val="-"/>
      <w:lvlJc w:val="left"/>
      <w:pPr>
        <w:ind w:left="1287" w:hanging="360"/>
      </w:pPr>
      <w:rPr>
        <w:rFonts w:ascii="Calibri" w:eastAsia="Times New Roman" w:hAnsi="Calibr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8C87458"/>
    <w:multiLevelType w:val="hybridMultilevel"/>
    <w:tmpl w:val="3E00D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C63D3"/>
    <w:multiLevelType w:val="hybridMultilevel"/>
    <w:tmpl w:val="B308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47567"/>
    <w:multiLevelType w:val="hybridMultilevel"/>
    <w:tmpl w:val="D9A2B1E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2056ECC0">
      <w:start w:val="1"/>
      <w:numFmt w:val="decimal"/>
      <w:lvlText w:val="%3."/>
      <w:lvlJc w:val="left"/>
      <w:pPr>
        <w:ind w:left="2340" w:hanging="360"/>
      </w:pPr>
      <w:rPr>
        <w:rFonts w:hint="default"/>
      </w:rPr>
    </w:lvl>
    <w:lvl w:ilvl="3" w:tplc="ACC0C718">
      <w:start w:val="1"/>
      <w:numFmt w:val="bullet"/>
      <w:lvlText w:val="-"/>
      <w:lvlJc w:val="left"/>
      <w:pPr>
        <w:ind w:left="2880" w:hanging="360"/>
      </w:pPr>
      <w:rPr>
        <w:rFonts w:ascii="Verdana" w:eastAsia="Times New Roman" w:hAnsi="Verdana"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4381E69"/>
    <w:multiLevelType w:val="hybridMultilevel"/>
    <w:tmpl w:val="D95C53B8"/>
    <w:lvl w:ilvl="0" w:tplc="F9F4AAE0">
      <w:start w:val="4"/>
      <w:numFmt w:val="bullet"/>
      <w:lvlText w:val="-"/>
      <w:lvlJc w:val="left"/>
      <w:pPr>
        <w:ind w:left="2564" w:hanging="360"/>
      </w:pPr>
      <w:rPr>
        <w:rFonts w:ascii="Verdana" w:eastAsia="Times New Roman" w:hAnsi="Verdana" w:cs="Times New Roman" w:hint="default"/>
      </w:rPr>
    </w:lvl>
    <w:lvl w:ilvl="1" w:tplc="08090003" w:tentative="1">
      <w:start w:val="1"/>
      <w:numFmt w:val="bullet"/>
      <w:lvlText w:val="o"/>
      <w:lvlJc w:val="left"/>
      <w:pPr>
        <w:ind w:left="3284" w:hanging="360"/>
      </w:pPr>
      <w:rPr>
        <w:rFonts w:ascii="Courier New" w:hAnsi="Courier New" w:cs="Courier New" w:hint="default"/>
      </w:rPr>
    </w:lvl>
    <w:lvl w:ilvl="2" w:tplc="08090005" w:tentative="1">
      <w:start w:val="1"/>
      <w:numFmt w:val="bullet"/>
      <w:lvlText w:val=""/>
      <w:lvlJc w:val="left"/>
      <w:pPr>
        <w:ind w:left="4004" w:hanging="360"/>
      </w:pPr>
      <w:rPr>
        <w:rFonts w:ascii="Wingdings" w:hAnsi="Wingdings" w:hint="default"/>
      </w:rPr>
    </w:lvl>
    <w:lvl w:ilvl="3" w:tplc="08090001" w:tentative="1">
      <w:start w:val="1"/>
      <w:numFmt w:val="bullet"/>
      <w:lvlText w:val=""/>
      <w:lvlJc w:val="left"/>
      <w:pPr>
        <w:ind w:left="4724" w:hanging="360"/>
      </w:pPr>
      <w:rPr>
        <w:rFonts w:ascii="Symbol" w:hAnsi="Symbol" w:hint="default"/>
      </w:rPr>
    </w:lvl>
    <w:lvl w:ilvl="4" w:tplc="08090003" w:tentative="1">
      <w:start w:val="1"/>
      <w:numFmt w:val="bullet"/>
      <w:lvlText w:val="o"/>
      <w:lvlJc w:val="left"/>
      <w:pPr>
        <w:ind w:left="5444" w:hanging="360"/>
      </w:pPr>
      <w:rPr>
        <w:rFonts w:ascii="Courier New" w:hAnsi="Courier New" w:cs="Courier New" w:hint="default"/>
      </w:rPr>
    </w:lvl>
    <w:lvl w:ilvl="5" w:tplc="08090005" w:tentative="1">
      <w:start w:val="1"/>
      <w:numFmt w:val="bullet"/>
      <w:lvlText w:val=""/>
      <w:lvlJc w:val="left"/>
      <w:pPr>
        <w:ind w:left="6164" w:hanging="360"/>
      </w:pPr>
      <w:rPr>
        <w:rFonts w:ascii="Wingdings" w:hAnsi="Wingdings" w:hint="default"/>
      </w:rPr>
    </w:lvl>
    <w:lvl w:ilvl="6" w:tplc="08090001" w:tentative="1">
      <w:start w:val="1"/>
      <w:numFmt w:val="bullet"/>
      <w:lvlText w:val=""/>
      <w:lvlJc w:val="left"/>
      <w:pPr>
        <w:ind w:left="6884" w:hanging="360"/>
      </w:pPr>
      <w:rPr>
        <w:rFonts w:ascii="Symbol" w:hAnsi="Symbol" w:hint="default"/>
      </w:rPr>
    </w:lvl>
    <w:lvl w:ilvl="7" w:tplc="08090003" w:tentative="1">
      <w:start w:val="1"/>
      <w:numFmt w:val="bullet"/>
      <w:lvlText w:val="o"/>
      <w:lvlJc w:val="left"/>
      <w:pPr>
        <w:ind w:left="7604" w:hanging="360"/>
      </w:pPr>
      <w:rPr>
        <w:rFonts w:ascii="Courier New" w:hAnsi="Courier New" w:cs="Courier New" w:hint="default"/>
      </w:rPr>
    </w:lvl>
    <w:lvl w:ilvl="8" w:tplc="08090005" w:tentative="1">
      <w:start w:val="1"/>
      <w:numFmt w:val="bullet"/>
      <w:lvlText w:val=""/>
      <w:lvlJc w:val="left"/>
      <w:pPr>
        <w:ind w:left="8324" w:hanging="360"/>
      </w:pPr>
      <w:rPr>
        <w:rFonts w:ascii="Wingdings" w:hAnsi="Wingdings" w:hint="default"/>
      </w:rPr>
    </w:lvl>
  </w:abstractNum>
  <w:abstractNum w:abstractNumId="14" w15:restartNumberingAfterBreak="0">
    <w:nsid w:val="5B2E2D8E"/>
    <w:multiLevelType w:val="hybridMultilevel"/>
    <w:tmpl w:val="D3286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4A5FD3"/>
    <w:multiLevelType w:val="hybridMultilevel"/>
    <w:tmpl w:val="5284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54C6C"/>
    <w:multiLevelType w:val="hybridMultilevel"/>
    <w:tmpl w:val="FDEAC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AB59BC"/>
    <w:multiLevelType w:val="hybridMultilevel"/>
    <w:tmpl w:val="111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764E66"/>
    <w:multiLevelType w:val="hybridMultilevel"/>
    <w:tmpl w:val="81ECBC1C"/>
    <w:lvl w:ilvl="0" w:tplc="1582725A">
      <w:start w:val="3"/>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5"/>
  </w:num>
  <w:num w:numId="3">
    <w:abstractNumId w:val="17"/>
  </w:num>
  <w:num w:numId="4">
    <w:abstractNumId w:val="15"/>
  </w:num>
  <w:num w:numId="5">
    <w:abstractNumId w:val="6"/>
  </w:num>
  <w:num w:numId="6">
    <w:abstractNumId w:val="13"/>
  </w:num>
  <w:num w:numId="7">
    <w:abstractNumId w:val="9"/>
  </w:num>
  <w:num w:numId="8">
    <w:abstractNumId w:val="7"/>
  </w:num>
  <w:num w:numId="9">
    <w:abstractNumId w:val="4"/>
  </w:num>
  <w:num w:numId="10">
    <w:abstractNumId w:val="0"/>
  </w:num>
  <w:num w:numId="11">
    <w:abstractNumId w:val="2"/>
  </w:num>
  <w:num w:numId="12">
    <w:abstractNumId w:val="1"/>
  </w:num>
  <w:num w:numId="13">
    <w:abstractNumId w:val="8"/>
  </w:num>
  <w:num w:numId="14">
    <w:abstractNumId w:val="10"/>
  </w:num>
  <w:num w:numId="15">
    <w:abstractNumId w:val="14"/>
  </w:num>
  <w:num w:numId="16">
    <w:abstractNumId w:val="3"/>
  </w:num>
  <w:num w:numId="17">
    <w:abstractNumId w:val="16"/>
  </w:num>
  <w:num w:numId="18">
    <w:abstractNumId w:val="18"/>
  </w:num>
  <w:num w:numId="1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AD"/>
    <w:rsid w:val="00004432"/>
    <w:rsid w:val="000050AD"/>
    <w:rsid w:val="00012663"/>
    <w:rsid w:val="000171B6"/>
    <w:rsid w:val="000356AF"/>
    <w:rsid w:val="00035DF6"/>
    <w:rsid w:val="00045FD6"/>
    <w:rsid w:val="000503BB"/>
    <w:rsid w:val="000577D8"/>
    <w:rsid w:val="00060C6F"/>
    <w:rsid w:val="00060EEB"/>
    <w:rsid w:val="000622C9"/>
    <w:rsid w:val="00064864"/>
    <w:rsid w:val="000670E7"/>
    <w:rsid w:val="000813EF"/>
    <w:rsid w:val="00082689"/>
    <w:rsid w:val="00082A08"/>
    <w:rsid w:val="00087E6E"/>
    <w:rsid w:val="000905B2"/>
    <w:rsid w:val="00091778"/>
    <w:rsid w:val="00092763"/>
    <w:rsid w:val="00097DC2"/>
    <w:rsid w:val="000A722B"/>
    <w:rsid w:val="000B059C"/>
    <w:rsid w:val="000B0F7F"/>
    <w:rsid w:val="000B1411"/>
    <w:rsid w:val="000B3144"/>
    <w:rsid w:val="000B5091"/>
    <w:rsid w:val="000B5B5E"/>
    <w:rsid w:val="000C1E54"/>
    <w:rsid w:val="000C3F15"/>
    <w:rsid w:val="000C49A9"/>
    <w:rsid w:val="000D2D55"/>
    <w:rsid w:val="000D7758"/>
    <w:rsid w:val="000F0387"/>
    <w:rsid w:val="000F5EB8"/>
    <w:rsid w:val="000F5FF7"/>
    <w:rsid w:val="00102912"/>
    <w:rsid w:val="0010465A"/>
    <w:rsid w:val="001158A5"/>
    <w:rsid w:val="00124492"/>
    <w:rsid w:val="001260F3"/>
    <w:rsid w:val="001320B9"/>
    <w:rsid w:val="001365AC"/>
    <w:rsid w:val="001365C1"/>
    <w:rsid w:val="001367DB"/>
    <w:rsid w:val="00140B62"/>
    <w:rsid w:val="0014405E"/>
    <w:rsid w:val="0014410A"/>
    <w:rsid w:val="00152550"/>
    <w:rsid w:val="001533B5"/>
    <w:rsid w:val="001658C1"/>
    <w:rsid w:val="00165C7A"/>
    <w:rsid w:val="00186A3C"/>
    <w:rsid w:val="00186DFD"/>
    <w:rsid w:val="001945F9"/>
    <w:rsid w:val="00195CC3"/>
    <w:rsid w:val="001A3536"/>
    <w:rsid w:val="001A5CE0"/>
    <w:rsid w:val="001B4050"/>
    <w:rsid w:val="001B41A7"/>
    <w:rsid w:val="001C4B82"/>
    <w:rsid w:val="001C4C86"/>
    <w:rsid w:val="001D2D90"/>
    <w:rsid w:val="001D32D9"/>
    <w:rsid w:val="001E05A1"/>
    <w:rsid w:val="001E4F13"/>
    <w:rsid w:val="001E7466"/>
    <w:rsid w:val="001F2BDC"/>
    <w:rsid w:val="001F3543"/>
    <w:rsid w:val="001F51FC"/>
    <w:rsid w:val="001F5B5A"/>
    <w:rsid w:val="00204241"/>
    <w:rsid w:val="00204B63"/>
    <w:rsid w:val="00206165"/>
    <w:rsid w:val="00206AEF"/>
    <w:rsid w:val="0021259D"/>
    <w:rsid w:val="00212C13"/>
    <w:rsid w:val="0021409C"/>
    <w:rsid w:val="0021623A"/>
    <w:rsid w:val="00222AD6"/>
    <w:rsid w:val="00230761"/>
    <w:rsid w:val="0023667C"/>
    <w:rsid w:val="00237036"/>
    <w:rsid w:val="00250ACC"/>
    <w:rsid w:val="00262021"/>
    <w:rsid w:val="0027337E"/>
    <w:rsid w:val="00276A96"/>
    <w:rsid w:val="00276BCF"/>
    <w:rsid w:val="0027710E"/>
    <w:rsid w:val="002776C2"/>
    <w:rsid w:val="00282503"/>
    <w:rsid w:val="002A19E9"/>
    <w:rsid w:val="002A67D6"/>
    <w:rsid w:val="002B0246"/>
    <w:rsid w:val="002B260A"/>
    <w:rsid w:val="002B328A"/>
    <w:rsid w:val="002B7C27"/>
    <w:rsid w:val="002C180A"/>
    <w:rsid w:val="002C2AF2"/>
    <w:rsid w:val="002C72B5"/>
    <w:rsid w:val="002D3621"/>
    <w:rsid w:val="002D473C"/>
    <w:rsid w:val="002E4B66"/>
    <w:rsid w:val="002E689C"/>
    <w:rsid w:val="002E78B2"/>
    <w:rsid w:val="002F1C07"/>
    <w:rsid w:val="002F24FE"/>
    <w:rsid w:val="002F258D"/>
    <w:rsid w:val="00305056"/>
    <w:rsid w:val="00305B1C"/>
    <w:rsid w:val="0030729F"/>
    <w:rsid w:val="003225EE"/>
    <w:rsid w:val="00326DF0"/>
    <w:rsid w:val="0033012E"/>
    <w:rsid w:val="00333B68"/>
    <w:rsid w:val="00334700"/>
    <w:rsid w:val="00337C4F"/>
    <w:rsid w:val="00341D9F"/>
    <w:rsid w:val="0034268F"/>
    <w:rsid w:val="00347407"/>
    <w:rsid w:val="00347743"/>
    <w:rsid w:val="0034792C"/>
    <w:rsid w:val="00352723"/>
    <w:rsid w:val="003555D3"/>
    <w:rsid w:val="003558E9"/>
    <w:rsid w:val="00356764"/>
    <w:rsid w:val="00363D31"/>
    <w:rsid w:val="003730F2"/>
    <w:rsid w:val="00374830"/>
    <w:rsid w:val="00390553"/>
    <w:rsid w:val="00394A99"/>
    <w:rsid w:val="00395313"/>
    <w:rsid w:val="0039759A"/>
    <w:rsid w:val="003A18CE"/>
    <w:rsid w:val="003B2F13"/>
    <w:rsid w:val="003B3A0A"/>
    <w:rsid w:val="003C253E"/>
    <w:rsid w:val="003C2FD3"/>
    <w:rsid w:val="003C37A9"/>
    <w:rsid w:val="003C3BFE"/>
    <w:rsid w:val="003C48AB"/>
    <w:rsid w:val="003C5B31"/>
    <w:rsid w:val="003C626A"/>
    <w:rsid w:val="003C78EE"/>
    <w:rsid w:val="003C7CE7"/>
    <w:rsid w:val="003D0889"/>
    <w:rsid w:val="003D43ED"/>
    <w:rsid w:val="003D4F0B"/>
    <w:rsid w:val="003D562B"/>
    <w:rsid w:val="003E0584"/>
    <w:rsid w:val="003E14D2"/>
    <w:rsid w:val="003E41E9"/>
    <w:rsid w:val="003E5867"/>
    <w:rsid w:val="003F1D4E"/>
    <w:rsid w:val="003F4AD4"/>
    <w:rsid w:val="003F5AA1"/>
    <w:rsid w:val="003F70C4"/>
    <w:rsid w:val="003F7A91"/>
    <w:rsid w:val="004005E3"/>
    <w:rsid w:val="00403B99"/>
    <w:rsid w:val="0040450D"/>
    <w:rsid w:val="00406959"/>
    <w:rsid w:val="00410528"/>
    <w:rsid w:val="004105D6"/>
    <w:rsid w:val="00411606"/>
    <w:rsid w:val="00413C57"/>
    <w:rsid w:val="0042410E"/>
    <w:rsid w:val="004268C5"/>
    <w:rsid w:val="0043121E"/>
    <w:rsid w:val="0043181A"/>
    <w:rsid w:val="004409B5"/>
    <w:rsid w:val="00441DC1"/>
    <w:rsid w:val="00441F7E"/>
    <w:rsid w:val="00442CAD"/>
    <w:rsid w:val="00452105"/>
    <w:rsid w:val="004612BF"/>
    <w:rsid w:val="004614DE"/>
    <w:rsid w:val="004669EE"/>
    <w:rsid w:val="00470475"/>
    <w:rsid w:val="00473037"/>
    <w:rsid w:val="00476AC5"/>
    <w:rsid w:val="00481003"/>
    <w:rsid w:val="004839BE"/>
    <w:rsid w:val="00490672"/>
    <w:rsid w:val="00490C83"/>
    <w:rsid w:val="004915A9"/>
    <w:rsid w:val="004977A0"/>
    <w:rsid w:val="004B17F5"/>
    <w:rsid w:val="004B32B9"/>
    <w:rsid w:val="004C0732"/>
    <w:rsid w:val="004D10B6"/>
    <w:rsid w:val="004D23BE"/>
    <w:rsid w:val="004E55A6"/>
    <w:rsid w:val="004E5751"/>
    <w:rsid w:val="004F4901"/>
    <w:rsid w:val="004F5B3C"/>
    <w:rsid w:val="004F6826"/>
    <w:rsid w:val="004F6B11"/>
    <w:rsid w:val="004F6D8C"/>
    <w:rsid w:val="0050360F"/>
    <w:rsid w:val="005054DD"/>
    <w:rsid w:val="0050596B"/>
    <w:rsid w:val="00512C97"/>
    <w:rsid w:val="00514D35"/>
    <w:rsid w:val="005155BF"/>
    <w:rsid w:val="00516CFE"/>
    <w:rsid w:val="00517E79"/>
    <w:rsid w:val="00521234"/>
    <w:rsid w:val="005263BF"/>
    <w:rsid w:val="00541343"/>
    <w:rsid w:val="00542911"/>
    <w:rsid w:val="0054410D"/>
    <w:rsid w:val="00547D00"/>
    <w:rsid w:val="00551B3D"/>
    <w:rsid w:val="00553604"/>
    <w:rsid w:val="00557349"/>
    <w:rsid w:val="0056421B"/>
    <w:rsid w:val="00566402"/>
    <w:rsid w:val="00571B1A"/>
    <w:rsid w:val="005853F4"/>
    <w:rsid w:val="005976B9"/>
    <w:rsid w:val="005A1C87"/>
    <w:rsid w:val="005B1018"/>
    <w:rsid w:val="005B3BAE"/>
    <w:rsid w:val="005B50E6"/>
    <w:rsid w:val="005C46B1"/>
    <w:rsid w:val="005D2E7C"/>
    <w:rsid w:val="005D310A"/>
    <w:rsid w:val="005D5B6C"/>
    <w:rsid w:val="005E29C9"/>
    <w:rsid w:val="005E402D"/>
    <w:rsid w:val="005E7115"/>
    <w:rsid w:val="005F1BAA"/>
    <w:rsid w:val="005F20EF"/>
    <w:rsid w:val="005F3387"/>
    <w:rsid w:val="005F3CE7"/>
    <w:rsid w:val="005F4B5D"/>
    <w:rsid w:val="0061163C"/>
    <w:rsid w:val="006153DD"/>
    <w:rsid w:val="00617A48"/>
    <w:rsid w:val="00621AF6"/>
    <w:rsid w:val="0062282D"/>
    <w:rsid w:val="00623AF9"/>
    <w:rsid w:val="00637318"/>
    <w:rsid w:val="0064086C"/>
    <w:rsid w:val="00643F9B"/>
    <w:rsid w:val="00645019"/>
    <w:rsid w:val="00653223"/>
    <w:rsid w:val="00657D63"/>
    <w:rsid w:val="006602CD"/>
    <w:rsid w:val="00666EBF"/>
    <w:rsid w:val="006673EA"/>
    <w:rsid w:val="0069318C"/>
    <w:rsid w:val="0069750F"/>
    <w:rsid w:val="006A3575"/>
    <w:rsid w:val="006A3AFE"/>
    <w:rsid w:val="006A65C2"/>
    <w:rsid w:val="006A7B87"/>
    <w:rsid w:val="006B25F0"/>
    <w:rsid w:val="006B36DA"/>
    <w:rsid w:val="006B570E"/>
    <w:rsid w:val="006B60F4"/>
    <w:rsid w:val="006C3C02"/>
    <w:rsid w:val="006C41C8"/>
    <w:rsid w:val="006C6740"/>
    <w:rsid w:val="006C71B6"/>
    <w:rsid w:val="006D22A6"/>
    <w:rsid w:val="006D35B4"/>
    <w:rsid w:val="006D64E0"/>
    <w:rsid w:val="006E3B0A"/>
    <w:rsid w:val="006E4121"/>
    <w:rsid w:val="006E6B21"/>
    <w:rsid w:val="006F2669"/>
    <w:rsid w:val="006F6844"/>
    <w:rsid w:val="00711DF5"/>
    <w:rsid w:val="00715A48"/>
    <w:rsid w:val="007169B2"/>
    <w:rsid w:val="007277E4"/>
    <w:rsid w:val="00733517"/>
    <w:rsid w:val="00735E60"/>
    <w:rsid w:val="00741627"/>
    <w:rsid w:val="0074340E"/>
    <w:rsid w:val="00755E58"/>
    <w:rsid w:val="00763B54"/>
    <w:rsid w:val="00773856"/>
    <w:rsid w:val="00781A7A"/>
    <w:rsid w:val="00785B73"/>
    <w:rsid w:val="00793CAA"/>
    <w:rsid w:val="00794435"/>
    <w:rsid w:val="007A39E1"/>
    <w:rsid w:val="007A44BF"/>
    <w:rsid w:val="007A73AE"/>
    <w:rsid w:val="007C2442"/>
    <w:rsid w:val="007C2D78"/>
    <w:rsid w:val="007C6A53"/>
    <w:rsid w:val="007D4362"/>
    <w:rsid w:val="007E07B1"/>
    <w:rsid w:val="007E5090"/>
    <w:rsid w:val="007E6CF2"/>
    <w:rsid w:val="007E6E8E"/>
    <w:rsid w:val="007F18FD"/>
    <w:rsid w:val="007F6AAE"/>
    <w:rsid w:val="007F7B4E"/>
    <w:rsid w:val="00800F99"/>
    <w:rsid w:val="00801447"/>
    <w:rsid w:val="00802568"/>
    <w:rsid w:val="008079CD"/>
    <w:rsid w:val="0081006B"/>
    <w:rsid w:val="00812D8E"/>
    <w:rsid w:val="008302A1"/>
    <w:rsid w:val="00831ED4"/>
    <w:rsid w:val="0083572D"/>
    <w:rsid w:val="0083641B"/>
    <w:rsid w:val="00837D9F"/>
    <w:rsid w:val="00840A43"/>
    <w:rsid w:val="0084147D"/>
    <w:rsid w:val="00846A98"/>
    <w:rsid w:val="00855C44"/>
    <w:rsid w:val="0086111F"/>
    <w:rsid w:val="00861C4C"/>
    <w:rsid w:val="00863D9D"/>
    <w:rsid w:val="0087061E"/>
    <w:rsid w:val="0088415F"/>
    <w:rsid w:val="00884263"/>
    <w:rsid w:val="008842A4"/>
    <w:rsid w:val="0088465C"/>
    <w:rsid w:val="00886F1B"/>
    <w:rsid w:val="008A0420"/>
    <w:rsid w:val="008A3CC1"/>
    <w:rsid w:val="008B2D10"/>
    <w:rsid w:val="008B3289"/>
    <w:rsid w:val="008B397B"/>
    <w:rsid w:val="008C1E94"/>
    <w:rsid w:val="008D375A"/>
    <w:rsid w:val="008D459B"/>
    <w:rsid w:val="008E38AA"/>
    <w:rsid w:val="008E56DC"/>
    <w:rsid w:val="008E7D93"/>
    <w:rsid w:val="008F0C13"/>
    <w:rsid w:val="009063D5"/>
    <w:rsid w:val="00906B68"/>
    <w:rsid w:val="0091021D"/>
    <w:rsid w:val="0091269E"/>
    <w:rsid w:val="00915202"/>
    <w:rsid w:val="00917828"/>
    <w:rsid w:val="00923093"/>
    <w:rsid w:val="00924FB2"/>
    <w:rsid w:val="00935330"/>
    <w:rsid w:val="00941067"/>
    <w:rsid w:val="009425DA"/>
    <w:rsid w:val="00944F6E"/>
    <w:rsid w:val="00951825"/>
    <w:rsid w:val="00955554"/>
    <w:rsid w:val="00956097"/>
    <w:rsid w:val="009641FD"/>
    <w:rsid w:val="009667F6"/>
    <w:rsid w:val="00967E58"/>
    <w:rsid w:val="00970D10"/>
    <w:rsid w:val="00971A14"/>
    <w:rsid w:val="00972553"/>
    <w:rsid w:val="0097546F"/>
    <w:rsid w:val="009834D8"/>
    <w:rsid w:val="009937FF"/>
    <w:rsid w:val="00994AD9"/>
    <w:rsid w:val="0099699B"/>
    <w:rsid w:val="009A346A"/>
    <w:rsid w:val="009A3BF6"/>
    <w:rsid w:val="009A4728"/>
    <w:rsid w:val="009A6996"/>
    <w:rsid w:val="009A7CA8"/>
    <w:rsid w:val="009B3CF5"/>
    <w:rsid w:val="009B57CC"/>
    <w:rsid w:val="009B7BA6"/>
    <w:rsid w:val="009C23F2"/>
    <w:rsid w:val="009C61DE"/>
    <w:rsid w:val="009C7AB3"/>
    <w:rsid w:val="009D2E17"/>
    <w:rsid w:val="009D31F9"/>
    <w:rsid w:val="009D5600"/>
    <w:rsid w:val="009D7131"/>
    <w:rsid w:val="009E1F03"/>
    <w:rsid w:val="009E342F"/>
    <w:rsid w:val="009F27B2"/>
    <w:rsid w:val="009F2A60"/>
    <w:rsid w:val="009F4AC7"/>
    <w:rsid w:val="009F56F3"/>
    <w:rsid w:val="009F685C"/>
    <w:rsid w:val="00A003A7"/>
    <w:rsid w:val="00A04A57"/>
    <w:rsid w:val="00A10365"/>
    <w:rsid w:val="00A1036E"/>
    <w:rsid w:val="00A108B2"/>
    <w:rsid w:val="00A12E79"/>
    <w:rsid w:val="00A14104"/>
    <w:rsid w:val="00A160AE"/>
    <w:rsid w:val="00A24014"/>
    <w:rsid w:val="00A25DAE"/>
    <w:rsid w:val="00A34162"/>
    <w:rsid w:val="00A36DBD"/>
    <w:rsid w:val="00A41ACE"/>
    <w:rsid w:val="00A427E8"/>
    <w:rsid w:val="00A42C8A"/>
    <w:rsid w:val="00A43596"/>
    <w:rsid w:val="00A511ED"/>
    <w:rsid w:val="00A529B4"/>
    <w:rsid w:val="00A53EA7"/>
    <w:rsid w:val="00A608A9"/>
    <w:rsid w:val="00A618E9"/>
    <w:rsid w:val="00A66D82"/>
    <w:rsid w:val="00A67284"/>
    <w:rsid w:val="00A67D48"/>
    <w:rsid w:val="00A67E7B"/>
    <w:rsid w:val="00A73AD5"/>
    <w:rsid w:val="00A74850"/>
    <w:rsid w:val="00A7621A"/>
    <w:rsid w:val="00A804ED"/>
    <w:rsid w:val="00A850CC"/>
    <w:rsid w:val="00A91446"/>
    <w:rsid w:val="00AA4778"/>
    <w:rsid w:val="00AA5407"/>
    <w:rsid w:val="00AA5BB2"/>
    <w:rsid w:val="00AA6659"/>
    <w:rsid w:val="00AA6BE3"/>
    <w:rsid w:val="00AA6CF5"/>
    <w:rsid w:val="00AB007A"/>
    <w:rsid w:val="00AB537E"/>
    <w:rsid w:val="00AB573D"/>
    <w:rsid w:val="00AC080A"/>
    <w:rsid w:val="00AC1BA1"/>
    <w:rsid w:val="00AD42A3"/>
    <w:rsid w:val="00AD5038"/>
    <w:rsid w:val="00AE0094"/>
    <w:rsid w:val="00AE3EE8"/>
    <w:rsid w:val="00AF030D"/>
    <w:rsid w:val="00AF6281"/>
    <w:rsid w:val="00B049B4"/>
    <w:rsid w:val="00B12219"/>
    <w:rsid w:val="00B2297D"/>
    <w:rsid w:val="00B34A9D"/>
    <w:rsid w:val="00B50C22"/>
    <w:rsid w:val="00B51DAC"/>
    <w:rsid w:val="00B52CA9"/>
    <w:rsid w:val="00B53D6B"/>
    <w:rsid w:val="00B6152C"/>
    <w:rsid w:val="00B643E7"/>
    <w:rsid w:val="00B71615"/>
    <w:rsid w:val="00B87641"/>
    <w:rsid w:val="00B879BC"/>
    <w:rsid w:val="00B968C1"/>
    <w:rsid w:val="00BA15DF"/>
    <w:rsid w:val="00BB0591"/>
    <w:rsid w:val="00BB089C"/>
    <w:rsid w:val="00BB191A"/>
    <w:rsid w:val="00BC33A4"/>
    <w:rsid w:val="00BD0DA4"/>
    <w:rsid w:val="00BD1316"/>
    <w:rsid w:val="00BD1981"/>
    <w:rsid w:val="00BD4B9A"/>
    <w:rsid w:val="00BE2277"/>
    <w:rsid w:val="00BE47BD"/>
    <w:rsid w:val="00BE6BDD"/>
    <w:rsid w:val="00BF1553"/>
    <w:rsid w:val="00BF3DE2"/>
    <w:rsid w:val="00BF7AD0"/>
    <w:rsid w:val="00C03287"/>
    <w:rsid w:val="00C046F9"/>
    <w:rsid w:val="00C063C2"/>
    <w:rsid w:val="00C065F3"/>
    <w:rsid w:val="00C130B9"/>
    <w:rsid w:val="00C173C1"/>
    <w:rsid w:val="00C323A7"/>
    <w:rsid w:val="00C35F7A"/>
    <w:rsid w:val="00C362C3"/>
    <w:rsid w:val="00C37BA0"/>
    <w:rsid w:val="00C4299B"/>
    <w:rsid w:val="00C45A62"/>
    <w:rsid w:val="00C53C30"/>
    <w:rsid w:val="00C53FCE"/>
    <w:rsid w:val="00C56324"/>
    <w:rsid w:val="00C578C0"/>
    <w:rsid w:val="00C62105"/>
    <w:rsid w:val="00C621A7"/>
    <w:rsid w:val="00C76D91"/>
    <w:rsid w:val="00C803B9"/>
    <w:rsid w:val="00C8132B"/>
    <w:rsid w:val="00C86C96"/>
    <w:rsid w:val="00C911FC"/>
    <w:rsid w:val="00C91378"/>
    <w:rsid w:val="00C9510C"/>
    <w:rsid w:val="00C959D1"/>
    <w:rsid w:val="00CA68C0"/>
    <w:rsid w:val="00CB2A4B"/>
    <w:rsid w:val="00CB320A"/>
    <w:rsid w:val="00CB6F34"/>
    <w:rsid w:val="00CC1CA1"/>
    <w:rsid w:val="00CC4C68"/>
    <w:rsid w:val="00CC61EA"/>
    <w:rsid w:val="00CC71CC"/>
    <w:rsid w:val="00CD5450"/>
    <w:rsid w:val="00CE61B9"/>
    <w:rsid w:val="00CE6C25"/>
    <w:rsid w:val="00CF13CE"/>
    <w:rsid w:val="00CF4DEA"/>
    <w:rsid w:val="00D036E9"/>
    <w:rsid w:val="00D039BC"/>
    <w:rsid w:val="00D223AD"/>
    <w:rsid w:val="00D2367E"/>
    <w:rsid w:val="00D248D1"/>
    <w:rsid w:val="00D249AC"/>
    <w:rsid w:val="00D35087"/>
    <w:rsid w:val="00D45F15"/>
    <w:rsid w:val="00D4654B"/>
    <w:rsid w:val="00D50D03"/>
    <w:rsid w:val="00D54502"/>
    <w:rsid w:val="00D64B87"/>
    <w:rsid w:val="00D65E2D"/>
    <w:rsid w:val="00D666C0"/>
    <w:rsid w:val="00D6712E"/>
    <w:rsid w:val="00D70429"/>
    <w:rsid w:val="00D70BB3"/>
    <w:rsid w:val="00D71A1B"/>
    <w:rsid w:val="00D71CFF"/>
    <w:rsid w:val="00D74C2B"/>
    <w:rsid w:val="00D80077"/>
    <w:rsid w:val="00D823D1"/>
    <w:rsid w:val="00D83E1F"/>
    <w:rsid w:val="00D85614"/>
    <w:rsid w:val="00D85D90"/>
    <w:rsid w:val="00DA0078"/>
    <w:rsid w:val="00DA02D5"/>
    <w:rsid w:val="00DA2472"/>
    <w:rsid w:val="00DA290C"/>
    <w:rsid w:val="00DA3DC7"/>
    <w:rsid w:val="00DA53DC"/>
    <w:rsid w:val="00DB6234"/>
    <w:rsid w:val="00DB69F2"/>
    <w:rsid w:val="00DC562F"/>
    <w:rsid w:val="00DC7B2F"/>
    <w:rsid w:val="00DD3046"/>
    <w:rsid w:val="00DD4184"/>
    <w:rsid w:val="00DD7673"/>
    <w:rsid w:val="00DE1E0A"/>
    <w:rsid w:val="00DF6D10"/>
    <w:rsid w:val="00E014E4"/>
    <w:rsid w:val="00E03A13"/>
    <w:rsid w:val="00E055B0"/>
    <w:rsid w:val="00E0560F"/>
    <w:rsid w:val="00E05F70"/>
    <w:rsid w:val="00E0645E"/>
    <w:rsid w:val="00E06DE2"/>
    <w:rsid w:val="00E07DC9"/>
    <w:rsid w:val="00E14A91"/>
    <w:rsid w:val="00E1527B"/>
    <w:rsid w:val="00E15B6F"/>
    <w:rsid w:val="00E231B4"/>
    <w:rsid w:val="00E24D71"/>
    <w:rsid w:val="00E26C1E"/>
    <w:rsid w:val="00E30B35"/>
    <w:rsid w:val="00E35F6D"/>
    <w:rsid w:val="00E36E0E"/>
    <w:rsid w:val="00E3716D"/>
    <w:rsid w:val="00E376F7"/>
    <w:rsid w:val="00E43E24"/>
    <w:rsid w:val="00E55307"/>
    <w:rsid w:val="00E55775"/>
    <w:rsid w:val="00E670E4"/>
    <w:rsid w:val="00E67143"/>
    <w:rsid w:val="00E718D8"/>
    <w:rsid w:val="00E72262"/>
    <w:rsid w:val="00E752AC"/>
    <w:rsid w:val="00E803DA"/>
    <w:rsid w:val="00E8061C"/>
    <w:rsid w:val="00E81236"/>
    <w:rsid w:val="00E82D45"/>
    <w:rsid w:val="00E8437B"/>
    <w:rsid w:val="00E86065"/>
    <w:rsid w:val="00E91B5A"/>
    <w:rsid w:val="00EB102E"/>
    <w:rsid w:val="00EB6458"/>
    <w:rsid w:val="00ED0E73"/>
    <w:rsid w:val="00ED4A26"/>
    <w:rsid w:val="00ED67A9"/>
    <w:rsid w:val="00EF15B4"/>
    <w:rsid w:val="00EF6631"/>
    <w:rsid w:val="00F0223C"/>
    <w:rsid w:val="00F031FF"/>
    <w:rsid w:val="00F302F7"/>
    <w:rsid w:val="00F30587"/>
    <w:rsid w:val="00F30D32"/>
    <w:rsid w:val="00F310B9"/>
    <w:rsid w:val="00F32E99"/>
    <w:rsid w:val="00F34ABE"/>
    <w:rsid w:val="00F40B22"/>
    <w:rsid w:val="00F421D4"/>
    <w:rsid w:val="00F45D8A"/>
    <w:rsid w:val="00F5127B"/>
    <w:rsid w:val="00F5450A"/>
    <w:rsid w:val="00F576FA"/>
    <w:rsid w:val="00F6737C"/>
    <w:rsid w:val="00F7479D"/>
    <w:rsid w:val="00F8204C"/>
    <w:rsid w:val="00F82C24"/>
    <w:rsid w:val="00F86BFF"/>
    <w:rsid w:val="00F9341E"/>
    <w:rsid w:val="00F9544F"/>
    <w:rsid w:val="00FA0583"/>
    <w:rsid w:val="00FA0C5B"/>
    <w:rsid w:val="00FA27D7"/>
    <w:rsid w:val="00FA446A"/>
    <w:rsid w:val="00FB0770"/>
    <w:rsid w:val="00FB0C60"/>
    <w:rsid w:val="00FB1B0B"/>
    <w:rsid w:val="00FB783C"/>
    <w:rsid w:val="00FD1C45"/>
    <w:rsid w:val="00FD765B"/>
    <w:rsid w:val="00FE5668"/>
    <w:rsid w:val="00FF0E57"/>
    <w:rsid w:val="00FF1917"/>
    <w:rsid w:val="00FF3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7B843"/>
  <w15:docId w15:val="{4A89AED2-B94A-4424-9126-021B0104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3AD"/>
    <w:pPr>
      <w:spacing w:after="0" w:line="240" w:lineRule="auto"/>
      <w:ind w:left="432" w:hanging="432"/>
      <w:jc w:val="both"/>
    </w:pPr>
    <w:rPr>
      <w:rFonts w:ascii="Verdana" w:eastAsia="Times New Roman" w:hAnsi="Verdana" w:cs="Times New Roman"/>
      <w:szCs w:val="20"/>
      <w:lang w:eastAsia="en-GB"/>
    </w:rPr>
  </w:style>
  <w:style w:type="paragraph" w:styleId="Heading1">
    <w:name w:val="heading 1"/>
    <w:basedOn w:val="Normal"/>
    <w:next w:val="Normal"/>
    <w:link w:val="Heading1Char"/>
    <w:qFormat/>
    <w:rsid w:val="00D223AD"/>
    <w:pPr>
      <w:keepNext/>
      <w:widowControl w:val="0"/>
      <w:spacing w:before="480" w:after="60"/>
      <w:outlineLvl w:val="0"/>
    </w:pPr>
    <w:rPr>
      <w:color w:val="808080"/>
      <w:kern w:val="28"/>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23AD"/>
    <w:rPr>
      <w:rFonts w:ascii="Verdana" w:eastAsia="Times New Roman" w:hAnsi="Verdana" w:cs="Times New Roman"/>
      <w:color w:val="808080"/>
      <w:kern w:val="28"/>
      <w:sz w:val="72"/>
      <w:szCs w:val="20"/>
      <w:lang w:eastAsia="en-GB"/>
    </w:rPr>
  </w:style>
  <w:style w:type="paragraph" w:styleId="Header">
    <w:name w:val="header"/>
    <w:basedOn w:val="Normal"/>
    <w:link w:val="HeaderChar"/>
    <w:uiPriority w:val="99"/>
    <w:unhideWhenUsed/>
    <w:rsid w:val="00F82C24"/>
    <w:pPr>
      <w:tabs>
        <w:tab w:val="center" w:pos="4513"/>
        <w:tab w:val="right" w:pos="9026"/>
      </w:tabs>
    </w:pPr>
  </w:style>
  <w:style w:type="character" w:customStyle="1" w:styleId="HeaderChar">
    <w:name w:val="Header Char"/>
    <w:basedOn w:val="DefaultParagraphFont"/>
    <w:link w:val="Header"/>
    <w:uiPriority w:val="99"/>
    <w:rsid w:val="00F82C24"/>
    <w:rPr>
      <w:rFonts w:ascii="Verdana" w:eastAsia="Times New Roman" w:hAnsi="Verdana" w:cs="Times New Roman"/>
      <w:szCs w:val="20"/>
      <w:lang w:eastAsia="en-GB"/>
    </w:rPr>
  </w:style>
  <w:style w:type="paragraph" w:styleId="Footer">
    <w:name w:val="footer"/>
    <w:basedOn w:val="Normal"/>
    <w:link w:val="FooterChar"/>
    <w:uiPriority w:val="99"/>
    <w:unhideWhenUsed/>
    <w:rsid w:val="00F82C24"/>
    <w:pPr>
      <w:tabs>
        <w:tab w:val="center" w:pos="4513"/>
        <w:tab w:val="right" w:pos="9026"/>
      </w:tabs>
    </w:pPr>
  </w:style>
  <w:style w:type="character" w:customStyle="1" w:styleId="FooterChar">
    <w:name w:val="Footer Char"/>
    <w:basedOn w:val="DefaultParagraphFont"/>
    <w:link w:val="Footer"/>
    <w:uiPriority w:val="99"/>
    <w:rsid w:val="00F82C24"/>
    <w:rPr>
      <w:rFonts w:ascii="Verdana" w:eastAsia="Times New Roman" w:hAnsi="Verdana" w:cs="Times New Roman"/>
      <w:szCs w:val="20"/>
      <w:lang w:eastAsia="en-GB"/>
    </w:rPr>
  </w:style>
  <w:style w:type="table" w:styleId="TableGrid">
    <w:name w:val="Table Grid"/>
    <w:basedOn w:val="TableNormal"/>
    <w:uiPriority w:val="39"/>
    <w:rsid w:val="00855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554"/>
    <w:pPr>
      <w:ind w:left="720"/>
      <w:contextualSpacing/>
    </w:pPr>
  </w:style>
  <w:style w:type="paragraph" w:styleId="BalloonText">
    <w:name w:val="Balloon Text"/>
    <w:basedOn w:val="Normal"/>
    <w:link w:val="BalloonTextChar"/>
    <w:uiPriority w:val="99"/>
    <w:semiHidden/>
    <w:unhideWhenUsed/>
    <w:rsid w:val="00955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554"/>
    <w:rPr>
      <w:rFonts w:ascii="Segoe UI" w:eastAsia="Times New Roman" w:hAnsi="Segoe UI" w:cs="Segoe UI"/>
      <w:sz w:val="18"/>
      <w:szCs w:val="18"/>
      <w:lang w:eastAsia="en-GB"/>
    </w:rPr>
  </w:style>
  <w:style w:type="paragraph" w:customStyle="1" w:styleId="Default">
    <w:name w:val="Default"/>
    <w:rsid w:val="002F1C07"/>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F031FF"/>
    <w:rPr>
      <w:sz w:val="20"/>
    </w:rPr>
  </w:style>
  <w:style w:type="character" w:customStyle="1" w:styleId="FootnoteTextChar">
    <w:name w:val="Footnote Text Char"/>
    <w:basedOn w:val="DefaultParagraphFont"/>
    <w:link w:val="FootnoteText"/>
    <w:uiPriority w:val="99"/>
    <w:semiHidden/>
    <w:rsid w:val="00F031FF"/>
    <w:rPr>
      <w:rFonts w:ascii="Verdana" w:eastAsia="Times New Roman" w:hAnsi="Verdana" w:cs="Times New Roman"/>
      <w:sz w:val="20"/>
      <w:szCs w:val="20"/>
      <w:lang w:eastAsia="en-GB"/>
    </w:rPr>
  </w:style>
  <w:style w:type="character" w:styleId="FootnoteReference">
    <w:name w:val="footnote reference"/>
    <w:basedOn w:val="DefaultParagraphFont"/>
    <w:uiPriority w:val="99"/>
    <w:semiHidden/>
    <w:unhideWhenUsed/>
    <w:rsid w:val="00F031FF"/>
    <w:rPr>
      <w:vertAlign w:val="superscript"/>
    </w:rPr>
  </w:style>
  <w:style w:type="character" w:styleId="CommentReference">
    <w:name w:val="annotation reference"/>
    <w:basedOn w:val="DefaultParagraphFont"/>
    <w:uiPriority w:val="99"/>
    <w:semiHidden/>
    <w:unhideWhenUsed/>
    <w:rsid w:val="00F031FF"/>
    <w:rPr>
      <w:sz w:val="16"/>
      <w:szCs w:val="16"/>
    </w:rPr>
  </w:style>
  <w:style w:type="paragraph" w:styleId="CommentText">
    <w:name w:val="annotation text"/>
    <w:basedOn w:val="Normal"/>
    <w:link w:val="CommentTextChar"/>
    <w:uiPriority w:val="99"/>
    <w:semiHidden/>
    <w:unhideWhenUsed/>
    <w:rsid w:val="00F031FF"/>
    <w:rPr>
      <w:sz w:val="20"/>
    </w:rPr>
  </w:style>
  <w:style w:type="character" w:customStyle="1" w:styleId="CommentTextChar">
    <w:name w:val="Comment Text Char"/>
    <w:basedOn w:val="DefaultParagraphFont"/>
    <w:link w:val="CommentText"/>
    <w:uiPriority w:val="99"/>
    <w:semiHidden/>
    <w:rsid w:val="00F031FF"/>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31FF"/>
    <w:rPr>
      <w:b/>
      <w:bCs/>
    </w:rPr>
  </w:style>
  <w:style w:type="character" w:customStyle="1" w:styleId="CommentSubjectChar">
    <w:name w:val="Comment Subject Char"/>
    <w:basedOn w:val="CommentTextChar"/>
    <w:link w:val="CommentSubject"/>
    <w:uiPriority w:val="99"/>
    <w:semiHidden/>
    <w:rsid w:val="00F031FF"/>
    <w:rPr>
      <w:rFonts w:ascii="Verdana" w:eastAsia="Times New Roman" w:hAnsi="Verdana" w:cs="Times New Roman"/>
      <w:b/>
      <w:bCs/>
      <w:sz w:val="20"/>
      <w:szCs w:val="20"/>
      <w:lang w:eastAsia="en-GB"/>
    </w:rPr>
  </w:style>
  <w:style w:type="paragraph" w:styleId="Revision">
    <w:name w:val="Revision"/>
    <w:hidden/>
    <w:uiPriority w:val="99"/>
    <w:semiHidden/>
    <w:rsid w:val="00735E60"/>
    <w:pPr>
      <w:spacing w:after="0" w:line="240" w:lineRule="auto"/>
    </w:pPr>
    <w:rPr>
      <w:rFonts w:ascii="Verdana" w:eastAsia="Times New Roman" w:hAnsi="Verdana" w:cs="Times New Roman"/>
      <w:szCs w:val="20"/>
      <w:lang w:eastAsia="en-GB"/>
    </w:rPr>
  </w:style>
  <w:style w:type="character" w:styleId="Hyperlink">
    <w:name w:val="Hyperlink"/>
    <w:basedOn w:val="DefaultParagraphFont"/>
    <w:uiPriority w:val="99"/>
    <w:unhideWhenUsed/>
    <w:rsid w:val="009B7BA6"/>
    <w:rPr>
      <w:color w:val="0563C1" w:themeColor="hyperlink"/>
      <w:u w:val="single"/>
    </w:rPr>
  </w:style>
  <w:style w:type="character" w:customStyle="1" w:styleId="UnresolvedMention">
    <w:name w:val="Unresolved Mention"/>
    <w:basedOn w:val="DefaultParagraphFont"/>
    <w:uiPriority w:val="99"/>
    <w:semiHidden/>
    <w:unhideWhenUsed/>
    <w:rsid w:val="009B7BA6"/>
    <w:rPr>
      <w:color w:val="808080"/>
      <w:shd w:val="clear" w:color="auto" w:fill="E6E6E6"/>
    </w:rPr>
  </w:style>
  <w:style w:type="paragraph" w:styleId="NoSpacing">
    <w:name w:val="No Spacing"/>
    <w:uiPriority w:val="1"/>
    <w:qFormat/>
    <w:rsid w:val="009937FF"/>
    <w:pPr>
      <w:spacing w:after="0" w:line="240" w:lineRule="auto"/>
      <w:ind w:left="432" w:hanging="432"/>
      <w:jc w:val="both"/>
    </w:pPr>
    <w:rPr>
      <w:rFonts w:ascii="Verdana" w:eastAsia="Times New Roman" w:hAnsi="Verdan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11523">
      <w:bodyDiv w:val="1"/>
      <w:marLeft w:val="0"/>
      <w:marRight w:val="0"/>
      <w:marTop w:val="0"/>
      <w:marBottom w:val="0"/>
      <w:divBdr>
        <w:top w:val="none" w:sz="0" w:space="0" w:color="auto"/>
        <w:left w:val="none" w:sz="0" w:space="0" w:color="auto"/>
        <w:bottom w:val="none" w:sz="0" w:space="0" w:color="auto"/>
        <w:right w:val="none" w:sz="0" w:space="0" w:color="auto"/>
      </w:divBdr>
      <w:divsChild>
        <w:div w:id="1761294871">
          <w:marLeft w:val="0"/>
          <w:marRight w:val="0"/>
          <w:marTop w:val="0"/>
          <w:marBottom w:val="0"/>
          <w:divBdr>
            <w:top w:val="none" w:sz="0" w:space="0" w:color="auto"/>
            <w:left w:val="none" w:sz="0" w:space="0" w:color="auto"/>
            <w:bottom w:val="none" w:sz="0" w:space="0" w:color="auto"/>
            <w:right w:val="none" w:sz="0" w:space="0" w:color="auto"/>
          </w:divBdr>
          <w:divsChild>
            <w:div w:id="1615748405">
              <w:marLeft w:val="0"/>
              <w:marRight w:val="0"/>
              <w:marTop w:val="0"/>
              <w:marBottom w:val="0"/>
              <w:divBdr>
                <w:top w:val="none" w:sz="0" w:space="0" w:color="auto"/>
                <w:left w:val="none" w:sz="0" w:space="0" w:color="auto"/>
                <w:bottom w:val="none" w:sz="0" w:space="0" w:color="auto"/>
                <w:right w:val="none" w:sz="0" w:space="0" w:color="auto"/>
              </w:divBdr>
              <w:divsChild>
                <w:div w:id="11290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7623">
      <w:bodyDiv w:val="1"/>
      <w:marLeft w:val="0"/>
      <w:marRight w:val="0"/>
      <w:marTop w:val="0"/>
      <w:marBottom w:val="0"/>
      <w:divBdr>
        <w:top w:val="none" w:sz="0" w:space="0" w:color="auto"/>
        <w:left w:val="none" w:sz="0" w:space="0" w:color="auto"/>
        <w:bottom w:val="none" w:sz="0" w:space="0" w:color="auto"/>
        <w:right w:val="none" w:sz="0" w:space="0" w:color="auto"/>
      </w:divBdr>
      <w:divsChild>
        <w:div w:id="481120043">
          <w:marLeft w:val="0"/>
          <w:marRight w:val="0"/>
          <w:marTop w:val="0"/>
          <w:marBottom w:val="0"/>
          <w:divBdr>
            <w:top w:val="none" w:sz="0" w:space="0" w:color="auto"/>
            <w:left w:val="none" w:sz="0" w:space="0" w:color="auto"/>
            <w:bottom w:val="none" w:sz="0" w:space="0" w:color="auto"/>
            <w:right w:val="none" w:sz="0" w:space="0" w:color="auto"/>
          </w:divBdr>
          <w:divsChild>
            <w:div w:id="1482111851">
              <w:marLeft w:val="0"/>
              <w:marRight w:val="0"/>
              <w:marTop w:val="0"/>
              <w:marBottom w:val="0"/>
              <w:divBdr>
                <w:top w:val="none" w:sz="0" w:space="0" w:color="auto"/>
                <w:left w:val="none" w:sz="0" w:space="0" w:color="auto"/>
                <w:bottom w:val="none" w:sz="0" w:space="0" w:color="auto"/>
                <w:right w:val="none" w:sz="0" w:space="0" w:color="auto"/>
              </w:divBdr>
              <w:divsChild>
                <w:div w:id="11019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mden.gov.uk/web/guest/dartmouth-park-neighbourhood-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0BC61-D7E7-44DE-96CD-79B5419F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6535</Words>
  <Characters>37253</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Armitage</dc:creator>
  <cp:lastModifiedBy>Goodman, Kate</cp:lastModifiedBy>
  <cp:revision>2</cp:revision>
  <cp:lastPrinted>2019-07-18T12:40:00Z</cp:lastPrinted>
  <dcterms:created xsi:type="dcterms:W3CDTF">2019-07-22T07:48:00Z</dcterms:created>
  <dcterms:modified xsi:type="dcterms:W3CDTF">2019-07-22T07:48:00Z</dcterms:modified>
</cp:coreProperties>
</file>