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D5EF5" w14:textId="482175CA" w:rsidR="003E2FAD" w:rsidRDefault="003E2FAD" w:rsidP="003E2FAD">
      <w:pPr>
        <w:pStyle w:val="Appendix1"/>
      </w:pPr>
      <w:r>
        <w:t>policy statement</w:t>
      </w:r>
    </w:p>
    <w:p w14:paraId="14509A00" w14:textId="2CE96A7C" w:rsidR="008F673C" w:rsidRDefault="008F673C" w:rsidP="008F673C">
      <w:pPr>
        <w:pStyle w:val="BodyTextGrey"/>
        <w:rPr>
          <w:rFonts w:cs="Calibri"/>
          <w:color w:val="auto"/>
        </w:rPr>
      </w:pPr>
      <w:r>
        <w:t xml:space="preserve">The below sets out the general guidelines that the </w:t>
      </w:r>
      <w:r w:rsidR="003E77D3">
        <w:t xml:space="preserve">London Borough of </w:t>
      </w:r>
      <w:r w:rsidR="00172AE4">
        <w:t>Camden</w:t>
      </w:r>
      <w:r w:rsidR="003E77D3">
        <w:t xml:space="preserve"> </w:t>
      </w:r>
      <w:r>
        <w:t>Pension Fund (“the Fund”) will follow when determining the amount of an exit credit payable to a ceasing employer in line with Regulation 64 of the Local Government Pension Scheme Regulations 2013 (“the Regulations”)</w:t>
      </w:r>
      <w:r w:rsidR="00196FEF">
        <w:t xml:space="preserve"> as amended</w:t>
      </w:r>
      <w:r>
        <w:t>.  Please note that these are guidelines only and the Fund will also consider any other factors that are relevant on a case-by-case basis.  These considerations may result in a determination that would be different if these guidelines were rigorously adhered to.  In all cases, the Fund will make clear its reasoning for any decision.</w:t>
      </w:r>
    </w:p>
    <w:p w14:paraId="73309FEE" w14:textId="7ED01728" w:rsidR="008F673C" w:rsidRPr="008F673C" w:rsidRDefault="00FC36A9" w:rsidP="008F673C">
      <w:pPr>
        <w:pStyle w:val="Heading2"/>
      </w:pPr>
      <w:r>
        <w:t>Admission</w:t>
      </w:r>
      <w:r w:rsidR="008F673C" w:rsidRPr="008F673C">
        <w:t xml:space="preserve"> bodies</w:t>
      </w:r>
    </w:p>
    <w:p w14:paraId="2B745490" w14:textId="30350F29" w:rsidR="008F673C" w:rsidRDefault="008F673C" w:rsidP="008F673C">
      <w:pPr>
        <w:pStyle w:val="NumberHymans"/>
      </w:pPr>
      <w:r>
        <w:t xml:space="preserve">No exit credit will be payable in respect of admissions </w:t>
      </w:r>
      <w:r w:rsidR="00FC36A9">
        <w:t>to</w:t>
      </w:r>
      <w:r>
        <w:t xml:space="preserve"> the Fund before 14 May 2018 unless it is subject to a risk sharing arrangement as per point 3 below</w:t>
      </w:r>
      <w:r w:rsidR="00586E22">
        <w:t>, or if point 9 below applies</w:t>
      </w:r>
      <w:r>
        <w:t>.  Prior to this date, the payment of an exit credit was not permitted under the Regulations and the Fund assumes this was reflected in the commercial terms agreed between the admission body and the letting authority. This will also apply to any pre-14 May 2018 admission which has been extended or ‘rolled over’ on the same terms that applied on joining the Fund.</w:t>
      </w:r>
    </w:p>
    <w:p w14:paraId="28DCEFC1" w14:textId="01DDEFF9" w:rsidR="008F673C" w:rsidRDefault="008F673C" w:rsidP="008F673C">
      <w:pPr>
        <w:pStyle w:val="NumberHymans"/>
      </w:pPr>
      <w:r>
        <w:t xml:space="preserve">No exit credit will be payable to any admission body who participates in the Fund via a pass through approach </w:t>
      </w:r>
      <w:r w:rsidRPr="00217499">
        <w:t>as set out in the Funding Strategy Statement</w:t>
      </w:r>
      <w:r w:rsidRPr="00686BB2">
        <w:t>.</w:t>
      </w:r>
    </w:p>
    <w:p w14:paraId="3EE697FB" w14:textId="26072399" w:rsidR="008F673C" w:rsidRDefault="008F673C" w:rsidP="008F673C">
      <w:pPr>
        <w:pStyle w:val="NumberHymans"/>
      </w:pPr>
      <w:r>
        <w:t>The Fund will make an exit credit payment in line with any contractual or risk sharing agreements which specifically cover the ownership of exit credits/cessation surpluses</w:t>
      </w:r>
      <w:r w:rsidR="00196FEF">
        <w:t>,</w:t>
      </w:r>
      <w:r>
        <w:t xml:space="preserve"> or if the admission body and letting authority have agreed any alternative approach (which is consistent with the Regulations and any other legal obligations).  This information, which will include which party is responsible for which funding risk, must be presented to the Fund in a clear and unambiguous document with the agreement of both the admission body and the letting authority within one month of the admission body ceasing participation in the Fund.</w:t>
      </w:r>
    </w:p>
    <w:p w14:paraId="2F613BFF" w14:textId="018B4444" w:rsidR="008F673C" w:rsidRDefault="008F673C" w:rsidP="008F673C">
      <w:pPr>
        <w:pStyle w:val="NumberHymans"/>
      </w:pPr>
      <w:r>
        <w:t>If there is any dispute from either party regard</w:t>
      </w:r>
      <w:r w:rsidR="00196FEF">
        <w:t>ing</w:t>
      </w:r>
      <w:r>
        <w:t xml:space="preserve"> interpretation of contractual or risk sharing agreements as outlined in 3, the Fund will withhold payment of the exit credit until such disputes are resolved.</w:t>
      </w:r>
    </w:p>
    <w:p w14:paraId="404767E0" w14:textId="77777777" w:rsidR="008F673C" w:rsidRDefault="008F673C" w:rsidP="008F673C">
      <w:pPr>
        <w:pStyle w:val="NumberHymans"/>
      </w:pPr>
      <w:r>
        <w:t>The Fund will also consider any representations made by the letting authority regarding monies owed to them by the admission body in respect of the contract that is ceasing or any other contractual arrangement between the two parties.  The letting authority must make such representations in a clear and unambiguous document within one month of the admission body ceasing participation in the Fund.</w:t>
      </w:r>
    </w:p>
    <w:p w14:paraId="0E68C5BC" w14:textId="77777777" w:rsidR="008F673C" w:rsidRDefault="008F673C" w:rsidP="008F673C">
      <w:pPr>
        <w:pStyle w:val="NumberHymans"/>
      </w:pPr>
      <w:r>
        <w:t>Where a guarantor arrangement is in place, but no formal risk-sharing arrangement exists, the Fund will consider how the approach to setting contribution rates payable by the admission body during its participation in the Fund reflects which party is responsible for funding risks. This decision will inform the determination of the value of any exit credit payment.</w:t>
      </w:r>
    </w:p>
    <w:p w14:paraId="64766A1A" w14:textId="77777777" w:rsidR="008F673C" w:rsidRDefault="008F673C" w:rsidP="00E07CEA">
      <w:pPr>
        <w:pStyle w:val="NumberHymans"/>
      </w:pPr>
      <w:r>
        <w:t>If the admission agreement ends early, the Fund will consider the reason for the early termination, and whether that should have any relevance on the Fund’s determination of the value of any exit credit payment.  In these cases, the Fund will consider the differential between employers’ contributions paid (including investment returns earned on these monies) and the size of any cessation surplus.</w:t>
      </w:r>
    </w:p>
    <w:p w14:paraId="2DD1591D" w14:textId="77777777" w:rsidR="008F673C" w:rsidRDefault="008F673C" w:rsidP="00E07CEA">
      <w:pPr>
        <w:pStyle w:val="NumberHymans"/>
      </w:pPr>
      <w:r>
        <w:t xml:space="preserve">The decision of the Fund is final in interpreting how any arrangement described under </w:t>
      </w:r>
      <w:r w:rsidR="00E07CEA">
        <w:t>3, 5, 6 and 7</w:t>
      </w:r>
      <w:r>
        <w:t xml:space="preserve"> applies to the value of an exit credit payment.</w:t>
      </w:r>
    </w:p>
    <w:p w14:paraId="53547611" w14:textId="3CE658A2" w:rsidR="008F673C" w:rsidRDefault="008F673C" w:rsidP="00E07CEA">
      <w:pPr>
        <w:pStyle w:val="NumberHymans"/>
      </w:pPr>
      <w:r>
        <w:t xml:space="preserve">If an </w:t>
      </w:r>
      <w:r w:rsidR="00FC36A9">
        <w:t>admission</w:t>
      </w:r>
      <w:r>
        <w:t xml:space="preserve"> body leaves on a gilts </w:t>
      </w:r>
      <w:r w:rsidR="00562C5D">
        <w:t xml:space="preserve">exit </w:t>
      </w:r>
      <w:r>
        <w:t>basis (because no guarantor is in place)</w:t>
      </w:r>
      <w:r w:rsidR="00562C5D">
        <w:t xml:space="preserve"> as set out in the Funding Strategy Statement</w:t>
      </w:r>
      <w:r>
        <w:t>, then any exit credit will normally be paid in full to the employer.</w:t>
      </w:r>
    </w:p>
    <w:p w14:paraId="59D387A1" w14:textId="77777777" w:rsidR="000F23C2" w:rsidRDefault="000F23C2">
      <w:pPr>
        <w:spacing w:after="20" w:line="240" w:lineRule="auto"/>
        <w:jc w:val="left"/>
        <w:rPr>
          <w:b/>
          <w:color w:val="6EC040" w:themeColor="accent6"/>
          <w:lang w:eastAsia="en-US"/>
        </w:rPr>
      </w:pPr>
      <w:r>
        <w:br w:type="page"/>
      </w:r>
    </w:p>
    <w:p w14:paraId="6A423D6B" w14:textId="16551A02" w:rsidR="008F673C" w:rsidRDefault="008F673C" w:rsidP="00E07CEA">
      <w:pPr>
        <w:pStyle w:val="Heading2"/>
      </w:pPr>
      <w:r>
        <w:lastRenderedPageBreak/>
        <w:t>Scheduled bodies and resolution bodies</w:t>
      </w:r>
    </w:p>
    <w:p w14:paraId="0A3B2A82" w14:textId="77777777" w:rsidR="008F673C" w:rsidRDefault="008F673C" w:rsidP="00CC1BF5">
      <w:pPr>
        <w:pStyle w:val="NumberHymans"/>
        <w:numPr>
          <w:ilvl w:val="0"/>
          <w:numId w:val="15"/>
        </w:numPr>
      </w:pPr>
      <w:r>
        <w:t>Where a guarantor arrangement is in place, but no formal risk-sharing arrangement exists, the Fund will consider how the approach to setting contribution rates payable by the employer during its participation in the Fund reflects which party is responsible for funding risks. This decision will inform the determination of the value of any exit credit payment.</w:t>
      </w:r>
    </w:p>
    <w:p w14:paraId="1ADA81A4" w14:textId="77777777" w:rsidR="008F673C" w:rsidRDefault="008F673C" w:rsidP="00E07CEA">
      <w:pPr>
        <w:pStyle w:val="NumberHymans"/>
      </w:pPr>
      <w:r>
        <w:t>Where no formal guarantor or risk-sharing arrangement exists, the Fund will consider how the approach to setting contribution rates payable by the employer during its participation in the Fund reflects the extent to which it is responsible for funding risks. This decision will inform the determination of the value of any exit credit payment.</w:t>
      </w:r>
    </w:p>
    <w:p w14:paraId="4BAC1DD6" w14:textId="77777777" w:rsidR="008F673C" w:rsidRDefault="008F673C" w:rsidP="001816BE">
      <w:pPr>
        <w:pStyle w:val="NumberHymans"/>
      </w:pPr>
      <w:r>
        <w:t xml:space="preserve">The decision of the Fund is final in interpreting how any arrangement described under </w:t>
      </w:r>
      <w:r w:rsidR="001816BE">
        <w:t>1</w:t>
      </w:r>
      <w:r>
        <w:t xml:space="preserve"> and </w:t>
      </w:r>
      <w:r w:rsidR="001816BE">
        <w:t>2</w:t>
      </w:r>
      <w:r>
        <w:t xml:space="preserve"> applies to the value of an exit credit payment.</w:t>
      </w:r>
    </w:p>
    <w:p w14:paraId="2501697E" w14:textId="77777777" w:rsidR="008F673C" w:rsidRDefault="008F673C" w:rsidP="001816BE">
      <w:pPr>
        <w:pStyle w:val="NumberHymans"/>
      </w:pPr>
      <w:r>
        <w:t>If a scheduled body or resolution body becomes an exiting employer due to a reorganisation, merger or take-over, then no exit credit will be paid.</w:t>
      </w:r>
    </w:p>
    <w:p w14:paraId="4238DCF1" w14:textId="359A4D4C" w:rsidR="008F673C" w:rsidRDefault="008F673C" w:rsidP="001816BE">
      <w:pPr>
        <w:pStyle w:val="NumberHymans"/>
      </w:pPr>
      <w:r>
        <w:t>If a scheduled body or resolution body leaves on a gilts-</w:t>
      </w:r>
      <w:r w:rsidR="00B81F86">
        <w:t>exit basis</w:t>
      </w:r>
      <w:r>
        <w:t xml:space="preserve"> (because no guarantor is in place), then any exit credit will normally be paid in full to the employer.</w:t>
      </w:r>
    </w:p>
    <w:p w14:paraId="1A80DF0C" w14:textId="77777777" w:rsidR="008F673C" w:rsidRDefault="008F673C" w:rsidP="001816BE">
      <w:pPr>
        <w:pStyle w:val="Heading2"/>
      </w:pPr>
      <w:r>
        <w:t>General</w:t>
      </w:r>
    </w:p>
    <w:p w14:paraId="5CF98C80" w14:textId="77777777" w:rsidR="008F673C" w:rsidRDefault="008F673C" w:rsidP="008F673C">
      <w:pPr>
        <w:pStyle w:val="BodyTextGrey"/>
      </w:pPr>
      <w:r>
        <w:t xml:space="preserve">The Fund will advise the exiting employer as well as the letting authority and/or other relevant scheme employers of its decision to make an exit credit determination under Regulation 64.  </w:t>
      </w:r>
    </w:p>
    <w:p w14:paraId="6C8FECBB" w14:textId="1DF0D58E" w:rsidR="008F673C" w:rsidRDefault="008F673C" w:rsidP="008F673C">
      <w:pPr>
        <w:pStyle w:val="BodyTextGrey"/>
      </w:pPr>
      <w:r>
        <w:t xml:space="preserve">Subject to any risk sharing or other arrangements and factors discussed above, when determining the cessation funding position the Fund will generally make an assessment </w:t>
      </w:r>
      <w:r w:rsidR="00586E22">
        <w:t>having regard to</w:t>
      </w:r>
      <w:r>
        <w:t xml:space="preserve"> the value of contributions paid by the employer during their participation, the assets allocated when they joined the Fund and the respective investment returns earned on both.</w:t>
      </w:r>
    </w:p>
    <w:p w14:paraId="6879A0CA" w14:textId="3B3D7577" w:rsidR="008F673C" w:rsidRDefault="008F673C" w:rsidP="008F673C">
      <w:pPr>
        <w:pStyle w:val="BodyTextGrey"/>
      </w:pPr>
      <w:r>
        <w:t xml:space="preserve">The Fund will also factor in any contributions due or monies owed to the Fund </w:t>
      </w:r>
      <w:r w:rsidR="001816BE">
        <w:t xml:space="preserve">that </w:t>
      </w:r>
      <w:r>
        <w:t xml:space="preserve">remain unpaid by the employer at the cessation date.  </w:t>
      </w:r>
      <w:r w:rsidR="001816BE">
        <w:t>T</w:t>
      </w:r>
      <w:r>
        <w:t>he Fund’s default position will be to deduct these from any exit credit payment.</w:t>
      </w:r>
    </w:p>
    <w:p w14:paraId="1D1A6417" w14:textId="505DBB37" w:rsidR="008F673C" w:rsidRDefault="008F673C" w:rsidP="008F673C">
      <w:pPr>
        <w:pStyle w:val="BodyTextGrey"/>
      </w:pPr>
      <w:r>
        <w:t>The final decision will be made by</w:t>
      </w:r>
      <w:r w:rsidR="003E77D3">
        <w:t xml:space="preserve"> </w:t>
      </w:r>
      <w:r w:rsidR="00586E22">
        <w:t xml:space="preserve">the </w:t>
      </w:r>
      <w:r w:rsidR="00006244">
        <w:t>Head of Treasury &amp; Financial Services (Nigel Mascarenhas)</w:t>
      </w:r>
      <w:r>
        <w:t>, in conjunction with advice from the Fund’s Actuary and/or legal advisors where necessary, in consideration of the points held within this policy.</w:t>
      </w:r>
    </w:p>
    <w:p w14:paraId="187E7FC1" w14:textId="77777777" w:rsidR="008F673C" w:rsidRDefault="008F673C" w:rsidP="008F673C">
      <w:pPr>
        <w:pStyle w:val="BodyTextGrey"/>
      </w:pPr>
      <w:r>
        <w:t>The Fund accepts that there may be some situations that are bespoke in nature and do not fall into any of the categories above. In these situations</w:t>
      </w:r>
      <w:r w:rsidR="001816BE">
        <w:t>,</w:t>
      </w:r>
      <w:r>
        <w:t xml:space="preserve"> the Fund will discuss its approach to determining an exit credit with all affected parties.  The decision of the Fund in these instances is final.</w:t>
      </w:r>
    </w:p>
    <w:p w14:paraId="47F7C7D5" w14:textId="77777777" w:rsidR="008F673C" w:rsidRDefault="008F673C" w:rsidP="008F673C">
      <w:pPr>
        <w:pStyle w:val="BodyTextGrey"/>
      </w:pPr>
      <w:r>
        <w:t xml:space="preserve">The Fund will advise the exiting employer of the amount due to be repaid and seek to make the payment within six months of the exit date. In order to meet the six-month timeframe, the Fund requires prompt notification of an employer’s exit and all data and relevant information as requested. The Fund is unable to make any exit credit payment until it has received all data and information requested. </w:t>
      </w:r>
    </w:p>
    <w:p w14:paraId="07BA237A" w14:textId="77777777" w:rsidR="00247BEF" w:rsidRDefault="00247BEF" w:rsidP="008F673C">
      <w:pPr>
        <w:pStyle w:val="BodyTextGrey"/>
      </w:pPr>
      <w:r>
        <w:t>If the exiting employer or letting authority wishes to dispute the determination of the amount of an exit credit, this must be routed through the Fund’s internal dispute resolution process in the first instance.</w:t>
      </w:r>
    </w:p>
    <w:p w14:paraId="0AEFC4C8" w14:textId="195E6901" w:rsidR="00006244" w:rsidRDefault="00006244" w:rsidP="008F673C">
      <w:pPr>
        <w:pStyle w:val="BodyTextGrey"/>
      </w:pPr>
      <w:r>
        <w:br/>
      </w:r>
    </w:p>
    <w:p w14:paraId="55EF152B" w14:textId="77777777" w:rsidR="00006244" w:rsidRDefault="00006244">
      <w:pPr>
        <w:spacing w:after="20" w:line="240" w:lineRule="auto"/>
        <w:jc w:val="left"/>
        <w:rPr>
          <w:color w:val="455560"/>
          <w:lang w:eastAsia="en-US"/>
        </w:rPr>
      </w:pPr>
      <w:r>
        <w:br w:type="page"/>
      </w:r>
    </w:p>
    <w:p w14:paraId="76E1D44F" w14:textId="339DC4E6" w:rsidR="00006244" w:rsidRPr="00006244" w:rsidRDefault="00006244" w:rsidP="00006244">
      <w:pPr>
        <w:keepNext/>
        <w:keepLines/>
        <w:pageBreakBefore/>
        <w:spacing w:before="140" w:after="140" w:line="360" w:lineRule="atLeast"/>
        <w:jc w:val="left"/>
        <w:outlineLvl w:val="0"/>
        <w:rPr>
          <w:rFonts w:cs="Times New Roman"/>
          <w:iCs w:val="0"/>
          <w:color w:val="3FA6CC"/>
          <w:kern w:val="28"/>
          <w:sz w:val="36"/>
          <w:lang w:eastAsia="en-US"/>
        </w:rPr>
      </w:pPr>
      <w:bookmarkStart w:id="0" w:name="_Toc357155097"/>
      <w:bookmarkStart w:id="1" w:name="AppendixF"/>
      <w:r w:rsidRPr="00006244">
        <w:rPr>
          <w:rFonts w:cs="Times New Roman"/>
          <w:iCs w:val="0"/>
          <w:color w:val="3FA6CC"/>
          <w:kern w:val="28"/>
          <w:sz w:val="36"/>
          <w:lang w:eastAsia="en-US"/>
        </w:rPr>
        <w:lastRenderedPageBreak/>
        <w:t>Glossary</w:t>
      </w:r>
      <w:bookmarkEnd w:id="0"/>
    </w:p>
    <w:tbl>
      <w:tblPr>
        <w:tblW w:w="9923" w:type="dxa"/>
        <w:tblLayout w:type="fixed"/>
        <w:tblLook w:val="04A0" w:firstRow="1" w:lastRow="0" w:firstColumn="1" w:lastColumn="0" w:noHBand="0" w:noVBand="1"/>
      </w:tblPr>
      <w:tblGrid>
        <w:gridCol w:w="2093"/>
        <w:gridCol w:w="7830"/>
      </w:tblGrid>
      <w:tr w:rsidR="00006244" w:rsidRPr="00006244" w14:paraId="665F915B" w14:textId="77777777" w:rsidTr="00484ED5">
        <w:tc>
          <w:tcPr>
            <w:tcW w:w="2093" w:type="dxa"/>
            <w:shd w:val="clear" w:color="auto" w:fill="auto"/>
          </w:tcPr>
          <w:bookmarkEnd w:id="1"/>
          <w:p w14:paraId="509AC8EB" w14:textId="77777777" w:rsidR="00006244" w:rsidRPr="00006244" w:rsidRDefault="00006244" w:rsidP="00006244">
            <w:pPr>
              <w:spacing w:after="200"/>
              <w:jc w:val="left"/>
              <w:rPr>
                <w:b/>
                <w:color w:val="4B4B4B"/>
                <w:lang w:eastAsia="en-US"/>
              </w:rPr>
            </w:pPr>
            <w:r w:rsidRPr="00006244">
              <w:rPr>
                <w:b/>
                <w:color w:val="4B4B4B"/>
                <w:lang w:eastAsia="en-US"/>
              </w:rPr>
              <w:t>Administering Authority</w:t>
            </w:r>
          </w:p>
        </w:tc>
        <w:tc>
          <w:tcPr>
            <w:tcW w:w="7830" w:type="dxa"/>
            <w:shd w:val="clear" w:color="auto" w:fill="auto"/>
          </w:tcPr>
          <w:p w14:paraId="5D1AC0B4" w14:textId="77777777" w:rsidR="00006244" w:rsidRPr="00006244" w:rsidRDefault="00006244" w:rsidP="00006244">
            <w:pPr>
              <w:spacing w:after="200"/>
              <w:jc w:val="left"/>
              <w:rPr>
                <w:color w:val="4B4B4B"/>
                <w:lang w:eastAsia="en-US"/>
              </w:rPr>
            </w:pPr>
            <w:r w:rsidRPr="00006244">
              <w:rPr>
                <w:color w:val="4B4B4B"/>
                <w:lang w:eastAsia="en-US"/>
              </w:rPr>
              <w:t>The council with statutory responsibility for running the Fund, in effect the Fund’s “trustees”.</w:t>
            </w:r>
          </w:p>
        </w:tc>
      </w:tr>
      <w:tr w:rsidR="00006244" w:rsidRPr="00006244" w14:paraId="4C3E5EAF" w14:textId="77777777" w:rsidTr="00484ED5">
        <w:tc>
          <w:tcPr>
            <w:tcW w:w="2093" w:type="dxa"/>
            <w:shd w:val="clear" w:color="auto" w:fill="auto"/>
          </w:tcPr>
          <w:p w14:paraId="7B583356" w14:textId="77777777" w:rsidR="00006244" w:rsidRPr="00006244" w:rsidRDefault="00006244" w:rsidP="00006244">
            <w:pPr>
              <w:spacing w:after="200"/>
              <w:jc w:val="left"/>
              <w:rPr>
                <w:b/>
                <w:color w:val="4B4B4B"/>
                <w:lang w:eastAsia="en-US"/>
              </w:rPr>
            </w:pPr>
            <w:r w:rsidRPr="00006244">
              <w:rPr>
                <w:b/>
                <w:color w:val="4B4B4B"/>
                <w:lang w:eastAsia="en-US"/>
              </w:rPr>
              <w:t>Admission Bodies</w:t>
            </w:r>
          </w:p>
        </w:tc>
        <w:tc>
          <w:tcPr>
            <w:tcW w:w="7830" w:type="dxa"/>
            <w:shd w:val="clear" w:color="auto" w:fill="auto"/>
          </w:tcPr>
          <w:p w14:paraId="01B65DF0" w14:textId="46977EE0" w:rsidR="00006244" w:rsidRPr="00006244" w:rsidRDefault="00006244" w:rsidP="00006244">
            <w:pPr>
              <w:spacing w:after="200"/>
              <w:jc w:val="left"/>
              <w:rPr>
                <w:color w:val="4B4B4B"/>
                <w:lang w:eastAsia="en-US"/>
              </w:rPr>
            </w:pPr>
            <w:r w:rsidRPr="00006244">
              <w:rPr>
                <w:color w:val="4B4B4B"/>
                <w:lang w:eastAsia="en-US"/>
              </w:rPr>
              <w:t xml:space="preserve">Employers where there is an Admission Agreement setting out the employer’s obligations. </w:t>
            </w:r>
          </w:p>
        </w:tc>
      </w:tr>
      <w:tr w:rsidR="00006244" w:rsidRPr="00006244" w14:paraId="5A7C78F6" w14:textId="77777777" w:rsidTr="00484ED5">
        <w:tc>
          <w:tcPr>
            <w:tcW w:w="2093" w:type="dxa"/>
            <w:shd w:val="clear" w:color="auto" w:fill="auto"/>
          </w:tcPr>
          <w:p w14:paraId="293E3A29" w14:textId="77777777" w:rsidR="00006244" w:rsidRPr="00006244" w:rsidRDefault="00006244" w:rsidP="00006244">
            <w:pPr>
              <w:spacing w:after="200"/>
              <w:jc w:val="left"/>
              <w:rPr>
                <w:b/>
                <w:color w:val="4B4B4B"/>
                <w:lang w:eastAsia="en-US"/>
              </w:rPr>
            </w:pPr>
            <w:r w:rsidRPr="00006244">
              <w:rPr>
                <w:b/>
                <w:color w:val="4B4B4B"/>
                <w:lang w:eastAsia="en-US"/>
              </w:rPr>
              <w:t>Employer</w:t>
            </w:r>
          </w:p>
        </w:tc>
        <w:tc>
          <w:tcPr>
            <w:tcW w:w="7830" w:type="dxa"/>
            <w:shd w:val="clear" w:color="auto" w:fill="auto"/>
          </w:tcPr>
          <w:p w14:paraId="534A0A5D" w14:textId="77777777" w:rsidR="00006244" w:rsidRPr="00006244" w:rsidRDefault="00006244" w:rsidP="00006244">
            <w:pPr>
              <w:spacing w:after="200"/>
              <w:jc w:val="left"/>
              <w:rPr>
                <w:color w:val="4B4B4B"/>
                <w:lang w:eastAsia="en-US"/>
              </w:rPr>
            </w:pPr>
            <w:r w:rsidRPr="00006244">
              <w:rPr>
                <w:color w:val="4B4B4B"/>
                <w:lang w:eastAsia="en-US"/>
              </w:rPr>
              <w:t xml:space="preserve">An individual participating body in the Fund, which employs (or used to employ) </w:t>
            </w:r>
            <w:r w:rsidRPr="00D17E91">
              <w:rPr>
                <w:bCs/>
                <w:color w:val="4B4B4B"/>
                <w:lang w:eastAsia="en-US"/>
              </w:rPr>
              <w:t>members</w:t>
            </w:r>
            <w:r w:rsidRPr="00006244">
              <w:rPr>
                <w:color w:val="4B4B4B"/>
                <w:lang w:eastAsia="en-US"/>
              </w:rPr>
              <w:t xml:space="preserve"> of the Fund.  Normally the assets and </w:t>
            </w:r>
            <w:r w:rsidRPr="0040577A">
              <w:rPr>
                <w:bCs/>
                <w:color w:val="4B4B4B"/>
                <w:lang w:eastAsia="en-US"/>
              </w:rPr>
              <w:t>funding target values for each employer are individually tracked, together with its Primary rate at each valuation</w:t>
            </w:r>
            <w:r w:rsidRPr="00006244">
              <w:rPr>
                <w:color w:val="4B4B4B"/>
                <w:lang w:eastAsia="en-US"/>
              </w:rPr>
              <w:t xml:space="preserve">. </w:t>
            </w:r>
          </w:p>
        </w:tc>
      </w:tr>
      <w:tr w:rsidR="00006244" w:rsidRPr="00006244" w14:paraId="4EA019E4" w14:textId="77777777" w:rsidTr="00484ED5">
        <w:tc>
          <w:tcPr>
            <w:tcW w:w="2093" w:type="dxa"/>
            <w:shd w:val="clear" w:color="auto" w:fill="auto"/>
          </w:tcPr>
          <w:p w14:paraId="743953C6" w14:textId="77777777" w:rsidR="00006244" w:rsidRPr="00006244" w:rsidRDefault="00006244" w:rsidP="00006244">
            <w:pPr>
              <w:spacing w:after="200"/>
              <w:jc w:val="left"/>
              <w:rPr>
                <w:b/>
                <w:color w:val="4B4B4B"/>
                <w:lang w:eastAsia="en-US"/>
              </w:rPr>
            </w:pPr>
            <w:r w:rsidRPr="00006244">
              <w:rPr>
                <w:b/>
                <w:color w:val="4B4B4B"/>
                <w:lang w:eastAsia="en-US"/>
              </w:rPr>
              <w:t>Funding basis</w:t>
            </w:r>
          </w:p>
        </w:tc>
        <w:tc>
          <w:tcPr>
            <w:tcW w:w="7830" w:type="dxa"/>
            <w:shd w:val="clear" w:color="auto" w:fill="auto"/>
          </w:tcPr>
          <w:p w14:paraId="564FCE09" w14:textId="77777777" w:rsidR="00006244" w:rsidRPr="00006244" w:rsidRDefault="00006244" w:rsidP="00006244">
            <w:pPr>
              <w:spacing w:after="200"/>
              <w:jc w:val="left"/>
              <w:rPr>
                <w:color w:val="4B4B4B"/>
                <w:lang w:eastAsia="en-US"/>
              </w:rPr>
            </w:pPr>
            <w:r w:rsidRPr="00006244">
              <w:rPr>
                <w:color w:val="4B4B4B"/>
                <w:lang w:eastAsia="en-US"/>
              </w:rPr>
              <w:t xml:space="preserve">The combined set of assumptions made by the actuary, regarding the future, to calculate the value of the funding target at the end of the employer’s time horizon.    The main assumptions will relate to the level of future investment returns, salary growth, pension increases and longevity.  More prudent assumptions will give a higher funding target, whereas more optimistic assumptions will give a lower funding target. </w:t>
            </w:r>
          </w:p>
        </w:tc>
      </w:tr>
      <w:tr w:rsidR="00006244" w:rsidRPr="00006244" w14:paraId="1B4576A5" w14:textId="77777777" w:rsidTr="00484ED5">
        <w:tc>
          <w:tcPr>
            <w:tcW w:w="2093" w:type="dxa"/>
            <w:shd w:val="clear" w:color="auto" w:fill="auto"/>
          </w:tcPr>
          <w:p w14:paraId="6F0E2BDF" w14:textId="77777777" w:rsidR="00006244" w:rsidRPr="00006244" w:rsidRDefault="00006244" w:rsidP="00006244">
            <w:pPr>
              <w:spacing w:after="200"/>
              <w:jc w:val="left"/>
              <w:rPr>
                <w:b/>
                <w:color w:val="4B4B4B"/>
                <w:lang w:eastAsia="en-US"/>
              </w:rPr>
            </w:pPr>
            <w:r w:rsidRPr="00006244">
              <w:rPr>
                <w:b/>
                <w:color w:val="4B4B4B"/>
                <w:lang w:eastAsia="en-US"/>
              </w:rPr>
              <w:t>Gilt</w:t>
            </w:r>
          </w:p>
        </w:tc>
        <w:tc>
          <w:tcPr>
            <w:tcW w:w="7830" w:type="dxa"/>
            <w:shd w:val="clear" w:color="auto" w:fill="auto"/>
          </w:tcPr>
          <w:p w14:paraId="0DB6075F" w14:textId="381EB406" w:rsidR="00006244" w:rsidRPr="00006244" w:rsidRDefault="00006244" w:rsidP="00006244">
            <w:pPr>
              <w:spacing w:after="200"/>
              <w:jc w:val="left"/>
              <w:rPr>
                <w:color w:val="4B4B4B"/>
                <w:lang w:eastAsia="en-US"/>
              </w:rPr>
            </w:pPr>
            <w:r w:rsidRPr="00006244">
              <w:rPr>
                <w:color w:val="4B4B4B"/>
                <w:lang w:eastAsia="en-US"/>
              </w:rPr>
              <w:t xml:space="preserve">A UK Government bond, </w:t>
            </w:r>
            <w:r w:rsidR="008421AA" w:rsidRPr="00006244">
              <w:rPr>
                <w:color w:val="4B4B4B"/>
                <w:lang w:eastAsia="en-US"/>
              </w:rPr>
              <w:t>i.e.,</w:t>
            </w:r>
            <w:r w:rsidRPr="00006244">
              <w:rPr>
                <w:color w:val="4B4B4B"/>
                <w:lang w:eastAsia="en-US"/>
              </w:rPr>
              <w:t xml:space="preserve"> a promise by the Government to pay interest and capital as per the terms of that particular gilt, in return for an initial payment of capital by the purchaser. Gilts can be “fixed interest”, where the interest payments are level throughout the gilt’s term, or “index-linked” where the interest payments vary each year in line with a specified index (usually RPI). Gilts can be bought as assets by the Fund, but are also used in funding as an objective measure of a risk-free rate of return.</w:t>
            </w:r>
          </w:p>
        </w:tc>
      </w:tr>
      <w:tr w:rsidR="00006244" w:rsidRPr="00006244" w14:paraId="21DB1EC9" w14:textId="77777777" w:rsidTr="00484ED5">
        <w:tc>
          <w:tcPr>
            <w:tcW w:w="2093" w:type="dxa"/>
            <w:shd w:val="clear" w:color="auto" w:fill="auto"/>
          </w:tcPr>
          <w:p w14:paraId="52E55515" w14:textId="77777777" w:rsidR="00006244" w:rsidRPr="00006244" w:rsidRDefault="00006244" w:rsidP="00006244">
            <w:pPr>
              <w:spacing w:after="200"/>
              <w:jc w:val="left"/>
              <w:rPr>
                <w:b/>
                <w:color w:val="4B4B4B"/>
                <w:lang w:eastAsia="en-US"/>
              </w:rPr>
            </w:pPr>
            <w:r w:rsidRPr="00006244">
              <w:rPr>
                <w:b/>
                <w:color w:val="4B4B4B"/>
                <w:lang w:eastAsia="en-US"/>
              </w:rPr>
              <w:t>Guarantee / guarantor</w:t>
            </w:r>
          </w:p>
        </w:tc>
        <w:tc>
          <w:tcPr>
            <w:tcW w:w="7830" w:type="dxa"/>
            <w:shd w:val="clear" w:color="auto" w:fill="auto"/>
          </w:tcPr>
          <w:p w14:paraId="42FDE8DC" w14:textId="1D646452" w:rsidR="00006244" w:rsidRPr="00006244" w:rsidRDefault="00006244" w:rsidP="00006244">
            <w:pPr>
              <w:spacing w:after="200"/>
              <w:jc w:val="left"/>
              <w:rPr>
                <w:color w:val="4B4B4B"/>
                <w:lang w:eastAsia="en-US"/>
              </w:rPr>
            </w:pPr>
            <w:r w:rsidRPr="00006244">
              <w:rPr>
                <w:color w:val="4B4B4B"/>
                <w:lang w:eastAsia="en-US"/>
              </w:rPr>
              <w:t xml:space="preserve">A formal promise by a third party (the guarantor) that it will meet any pension obligations not met by a specified employer. The presence of a guarantor will mean, for instance, that the Fund can consider the </w:t>
            </w:r>
            <w:r w:rsidRPr="0040577A">
              <w:rPr>
                <w:color w:val="4B4B4B"/>
                <w:lang w:eastAsia="en-US"/>
              </w:rPr>
              <w:t>employer’s covenant to b</w:t>
            </w:r>
            <w:r w:rsidRPr="00006244">
              <w:rPr>
                <w:color w:val="4B4B4B"/>
                <w:lang w:eastAsia="en-US"/>
              </w:rPr>
              <w:t>e as strong as its guarantor’s.</w:t>
            </w:r>
          </w:p>
        </w:tc>
      </w:tr>
      <w:tr w:rsidR="00006244" w:rsidRPr="00006244" w14:paraId="684711FE" w14:textId="77777777" w:rsidTr="00484ED5">
        <w:tc>
          <w:tcPr>
            <w:tcW w:w="2093" w:type="dxa"/>
            <w:shd w:val="clear" w:color="auto" w:fill="auto"/>
          </w:tcPr>
          <w:p w14:paraId="6E38B6D8" w14:textId="77777777" w:rsidR="00006244" w:rsidRPr="00006244" w:rsidRDefault="00006244" w:rsidP="00006244">
            <w:pPr>
              <w:spacing w:after="200"/>
              <w:jc w:val="left"/>
              <w:rPr>
                <w:b/>
                <w:color w:val="4B4B4B"/>
                <w:lang w:eastAsia="en-US"/>
              </w:rPr>
            </w:pPr>
            <w:r w:rsidRPr="00006244">
              <w:rPr>
                <w:b/>
                <w:color w:val="4B4B4B"/>
                <w:lang w:eastAsia="en-US"/>
              </w:rPr>
              <w:t>Letting employer</w:t>
            </w:r>
          </w:p>
        </w:tc>
        <w:tc>
          <w:tcPr>
            <w:tcW w:w="7830" w:type="dxa"/>
            <w:shd w:val="clear" w:color="auto" w:fill="auto"/>
          </w:tcPr>
          <w:p w14:paraId="10CB74A8" w14:textId="77777777" w:rsidR="00006244" w:rsidRPr="00006244" w:rsidRDefault="00006244" w:rsidP="00006244">
            <w:pPr>
              <w:spacing w:after="200"/>
              <w:jc w:val="left"/>
              <w:rPr>
                <w:color w:val="4B4B4B"/>
                <w:lang w:eastAsia="en-US"/>
              </w:rPr>
            </w:pPr>
            <w:r w:rsidRPr="00006244">
              <w:rPr>
                <w:color w:val="4B4B4B"/>
                <w:lang w:eastAsia="en-US"/>
              </w:rPr>
              <w:t>An employer which outsources or transfers a part of its services and workforce to another employer (usually a contractor). The contractor will pay towards the LGPS benefits accrued by the transferring members, but ultimately the obligation to pay for these benefits will revert to the letting employer. A letting employer will usually be a local authority, but can sometimes be another type of employer such as an Academy.</w:t>
            </w:r>
          </w:p>
        </w:tc>
      </w:tr>
      <w:tr w:rsidR="00006244" w:rsidRPr="00006244" w14:paraId="7BE446A2" w14:textId="77777777" w:rsidTr="00484ED5">
        <w:tc>
          <w:tcPr>
            <w:tcW w:w="2093" w:type="dxa"/>
            <w:shd w:val="clear" w:color="auto" w:fill="auto"/>
          </w:tcPr>
          <w:p w14:paraId="098A29A0" w14:textId="77777777" w:rsidR="00006244" w:rsidRPr="00006244" w:rsidRDefault="00006244" w:rsidP="00006244">
            <w:pPr>
              <w:spacing w:after="200"/>
              <w:jc w:val="left"/>
              <w:rPr>
                <w:b/>
                <w:color w:val="4B4B4B"/>
                <w:lang w:eastAsia="en-US"/>
              </w:rPr>
            </w:pPr>
            <w:r w:rsidRPr="00006244">
              <w:rPr>
                <w:b/>
                <w:color w:val="4B4B4B"/>
                <w:lang w:eastAsia="en-US"/>
              </w:rPr>
              <w:t>LGPS</w:t>
            </w:r>
          </w:p>
        </w:tc>
        <w:tc>
          <w:tcPr>
            <w:tcW w:w="7830" w:type="dxa"/>
            <w:shd w:val="clear" w:color="auto" w:fill="auto"/>
          </w:tcPr>
          <w:p w14:paraId="146B8544" w14:textId="77777777" w:rsidR="00006244" w:rsidRPr="00006244" w:rsidRDefault="00006244" w:rsidP="00006244">
            <w:pPr>
              <w:spacing w:after="200"/>
              <w:jc w:val="left"/>
              <w:rPr>
                <w:color w:val="4B4B4B"/>
                <w:lang w:eastAsia="en-US"/>
              </w:rPr>
            </w:pPr>
            <w:r w:rsidRPr="00006244">
              <w:rPr>
                <w:color w:val="4B4B4B"/>
                <w:lang w:eastAsia="en-US"/>
              </w:rPr>
              <w:t xml:space="preserve">The Local Government Pension Scheme, a public sector pension arrangement put in place via Government Regulations, for workers in local government.  These Regulations also dictate eligibility (particularly for Scheduled Bodies), members’ contribution rates, benefit calculations and certain governance requirements.  The LGPS is divided into 100 Funds which map the UK.  Each LGPS Fund is autonomous to the extent not dictated by Regulations, e.g. regarding investment strategy, employer contributions and choice of advisers. </w:t>
            </w:r>
          </w:p>
        </w:tc>
      </w:tr>
      <w:tr w:rsidR="00006244" w:rsidRPr="00006244" w14:paraId="0907A54D" w14:textId="77777777" w:rsidTr="00484ED5">
        <w:tc>
          <w:tcPr>
            <w:tcW w:w="2093" w:type="dxa"/>
            <w:shd w:val="clear" w:color="auto" w:fill="auto"/>
          </w:tcPr>
          <w:p w14:paraId="1A7689FE" w14:textId="0BF28EED" w:rsidR="00006244" w:rsidRPr="00006244" w:rsidRDefault="00006244" w:rsidP="00006244">
            <w:pPr>
              <w:spacing w:after="200"/>
              <w:jc w:val="left"/>
              <w:rPr>
                <w:b/>
                <w:color w:val="4B4B4B"/>
                <w:lang w:eastAsia="en-US"/>
              </w:rPr>
            </w:pPr>
            <w:r w:rsidRPr="00006244">
              <w:rPr>
                <w:b/>
                <w:color w:val="4B4B4B"/>
                <w:lang w:eastAsia="en-US"/>
              </w:rPr>
              <w:t>Members</w:t>
            </w:r>
          </w:p>
        </w:tc>
        <w:tc>
          <w:tcPr>
            <w:tcW w:w="7830" w:type="dxa"/>
            <w:shd w:val="clear" w:color="auto" w:fill="auto"/>
          </w:tcPr>
          <w:p w14:paraId="509897E2" w14:textId="77777777" w:rsidR="00006244" w:rsidRPr="00006244" w:rsidRDefault="00006244" w:rsidP="00006244">
            <w:pPr>
              <w:spacing w:after="200"/>
              <w:jc w:val="left"/>
              <w:rPr>
                <w:color w:val="4B4B4B"/>
                <w:lang w:eastAsia="en-US"/>
              </w:rPr>
            </w:pPr>
            <w:r w:rsidRPr="00006244">
              <w:rPr>
                <w:color w:val="4B4B4B"/>
                <w:lang w:eastAsia="en-US"/>
              </w:rPr>
              <w:t>The individuals who have built up (and may still be building up) entitlement in the Fund.  They are divided into actives (current employee members), deferreds (ex-</w:t>
            </w:r>
            <w:r w:rsidRPr="00006244">
              <w:rPr>
                <w:color w:val="4B4B4B"/>
                <w:lang w:eastAsia="en-US"/>
              </w:rPr>
              <w:lastRenderedPageBreak/>
              <w:t xml:space="preserve">employees who have not yet retired) and pensioners (ex-employees who have now retired, and dependants of deceased ex-employees). </w:t>
            </w:r>
          </w:p>
        </w:tc>
      </w:tr>
      <w:tr w:rsidR="00006244" w:rsidRPr="00006244" w14:paraId="7ECB23FB" w14:textId="77777777" w:rsidTr="00484ED5">
        <w:tc>
          <w:tcPr>
            <w:tcW w:w="2093" w:type="dxa"/>
            <w:shd w:val="clear" w:color="auto" w:fill="auto"/>
          </w:tcPr>
          <w:p w14:paraId="055D398B" w14:textId="77777777" w:rsidR="00006244" w:rsidRPr="00006244" w:rsidRDefault="00006244" w:rsidP="00006244">
            <w:pPr>
              <w:spacing w:after="200"/>
              <w:jc w:val="left"/>
              <w:rPr>
                <w:b/>
                <w:color w:val="4B4B4B"/>
                <w:lang w:eastAsia="en-US"/>
              </w:rPr>
            </w:pPr>
            <w:r w:rsidRPr="00006244">
              <w:rPr>
                <w:b/>
                <w:color w:val="4B4B4B"/>
                <w:lang w:eastAsia="en-US"/>
              </w:rPr>
              <w:lastRenderedPageBreak/>
              <w:t>Primary contribution rate</w:t>
            </w:r>
          </w:p>
        </w:tc>
        <w:tc>
          <w:tcPr>
            <w:tcW w:w="7830" w:type="dxa"/>
            <w:shd w:val="clear" w:color="auto" w:fill="auto"/>
          </w:tcPr>
          <w:p w14:paraId="6475304F" w14:textId="1F13B3F7" w:rsidR="00006244" w:rsidRPr="00006244" w:rsidRDefault="00006244" w:rsidP="00006244">
            <w:pPr>
              <w:spacing w:after="200"/>
              <w:jc w:val="left"/>
              <w:rPr>
                <w:color w:val="4B4B4B"/>
                <w:lang w:eastAsia="en-US"/>
              </w:rPr>
            </w:pPr>
            <w:r w:rsidRPr="00006244">
              <w:rPr>
                <w:color w:val="4B4B4B"/>
                <w:lang w:eastAsia="en-US"/>
              </w:rPr>
              <w:t xml:space="preserve">The employer contribution rate required to pay for ongoing accrual of active members’ benefits (including an allowance for administrative expenses). </w:t>
            </w:r>
          </w:p>
        </w:tc>
      </w:tr>
      <w:tr w:rsidR="00AD5D80" w:rsidRPr="00006244" w14:paraId="232A5DFE" w14:textId="77777777" w:rsidTr="00054695">
        <w:tc>
          <w:tcPr>
            <w:tcW w:w="2093" w:type="dxa"/>
            <w:shd w:val="clear" w:color="auto" w:fill="auto"/>
          </w:tcPr>
          <w:p w14:paraId="06C7BE92" w14:textId="77777777" w:rsidR="00AD5D80" w:rsidRPr="00006244" w:rsidRDefault="00AD5D80" w:rsidP="00054695">
            <w:pPr>
              <w:spacing w:after="200"/>
              <w:jc w:val="left"/>
              <w:rPr>
                <w:b/>
                <w:color w:val="4B4B4B"/>
                <w:lang w:eastAsia="en-US"/>
              </w:rPr>
            </w:pPr>
            <w:r>
              <w:rPr>
                <w:b/>
                <w:color w:val="4B4B4B"/>
                <w:lang w:eastAsia="en-US"/>
              </w:rPr>
              <w:t>Resolution Bodies</w:t>
            </w:r>
          </w:p>
        </w:tc>
        <w:tc>
          <w:tcPr>
            <w:tcW w:w="7830" w:type="dxa"/>
            <w:shd w:val="clear" w:color="auto" w:fill="auto"/>
          </w:tcPr>
          <w:p w14:paraId="37E68FE0" w14:textId="77777777" w:rsidR="00AD5D80" w:rsidRPr="00006244" w:rsidRDefault="00AD5D80" w:rsidP="00054695">
            <w:pPr>
              <w:spacing w:after="200"/>
              <w:jc w:val="left"/>
              <w:rPr>
                <w:color w:val="4B4B4B"/>
                <w:lang w:eastAsia="en-US"/>
              </w:rPr>
            </w:pPr>
            <w:r>
              <w:rPr>
                <w:rStyle w:val="normaltextrun"/>
                <w:color w:val="4B4B4B"/>
                <w:shd w:val="clear" w:color="auto" w:fill="FFFFFF"/>
              </w:rPr>
              <w:t>Employers that are able to participate in the LGPS via resolution.  These employers can designate which of their employees are eligible to join the Fund.</w:t>
            </w:r>
          </w:p>
        </w:tc>
      </w:tr>
      <w:tr w:rsidR="00006244" w:rsidRPr="00006244" w14:paraId="2B8BE5EE" w14:textId="77777777" w:rsidTr="00484ED5">
        <w:tc>
          <w:tcPr>
            <w:tcW w:w="2093" w:type="dxa"/>
            <w:shd w:val="clear" w:color="auto" w:fill="auto"/>
          </w:tcPr>
          <w:p w14:paraId="4B758130" w14:textId="77777777" w:rsidR="00006244" w:rsidRPr="00006244" w:rsidRDefault="00006244" w:rsidP="00006244">
            <w:pPr>
              <w:spacing w:after="200"/>
              <w:jc w:val="left"/>
              <w:rPr>
                <w:b/>
                <w:color w:val="4B4B4B"/>
                <w:lang w:eastAsia="en-US"/>
              </w:rPr>
            </w:pPr>
            <w:r w:rsidRPr="00006244">
              <w:rPr>
                <w:b/>
                <w:color w:val="4B4B4B"/>
                <w:lang w:eastAsia="en-US"/>
              </w:rPr>
              <w:t xml:space="preserve">Scheduled Bodies </w:t>
            </w:r>
          </w:p>
        </w:tc>
        <w:tc>
          <w:tcPr>
            <w:tcW w:w="7830" w:type="dxa"/>
            <w:shd w:val="clear" w:color="auto" w:fill="auto"/>
          </w:tcPr>
          <w:p w14:paraId="75E9F5E9" w14:textId="608FF383" w:rsidR="00006244" w:rsidRPr="00006244" w:rsidRDefault="00006244" w:rsidP="00006244">
            <w:pPr>
              <w:spacing w:after="200"/>
              <w:jc w:val="left"/>
              <w:rPr>
                <w:color w:val="4B4B4B"/>
                <w:lang w:eastAsia="en-US"/>
              </w:rPr>
            </w:pPr>
            <w:r w:rsidRPr="00006244">
              <w:rPr>
                <w:color w:val="4B4B4B"/>
                <w:lang w:eastAsia="en-US"/>
              </w:rPr>
              <w:t xml:space="preserve">Types of employer explicitly defined in the LGPS Regulations, whose must be offered membership of their local LGPS Fund.  These include Councils, colleges, universities, academies, police and fire authorities etc, other than employees who have entitlement to a different public sector pension scheme (e.g. teachers). </w:t>
            </w:r>
          </w:p>
        </w:tc>
      </w:tr>
      <w:tr w:rsidR="00006244" w:rsidRPr="00006244" w14:paraId="0164FFE1" w14:textId="77777777" w:rsidTr="00484ED5">
        <w:tc>
          <w:tcPr>
            <w:tcW w:w="2093" w:type="dxa"/>
            <w:shd w:val="clear" w:color="auto" w:fill="auto"/>
          </w:tcPr>
          <w:p w14:paraId="21287090" w14:textId="77777777" w:rsidR="00006244" w:rsidRPr="00006244" w:rsidRDefault="00006244" w:rsidP="00006244">
            <w:pPr>
              <w:spacing w:after="200"/>
              <w:jc w:val="left"/>
              <w:rPr>
                <w:b/>
                <w:color w:val="4B4B4B"/>
                <w:lang w:eastAsia="en-US"/>
              </w:rPr>
            </w:pPr>
            <w:r w:rsidRPr="00006244">
              <w:rPr>
                <w:b/>
                <w:color w:val="4B4B4B"/>
                <w:lang w:eastAsia="en-US"/>
              </w:rPr>
              <w:t>Valuation</w:t>
            </w:r>
          </w:p>
        </w:tc>
        <w:tc>
          <w:tcPr>
            <w:tcW w:w="7830" w:type="dxa"/>
            <w:shd w:val="clear" w:color="auto" w:fill="auto"/>
          </w:tcPr>
          <w:p w14:paraId="2772FD1D" w14:textId="51EBDD27" w:rsidR="00006244" w:rsidRPr="00006244" w:rsidRDefault="00006244" w:rsidP="00006244">
            <w:pPr>
              <w:spacing w:after="200"/>
              <w:jc w:val="left"/>
              <w:rPr>
                <w:color w:val="4B4B4B"/>
                <w:lang w:eastAsia="en-US"/>
              </w:rPr>
            </w:pPr>
            <w:r w:rsidRPr="00006244">
              <w:rPr>
                <w:color w:val="4B4B4B"/>
                <w:lang w:eastAsia="en-US"/>
              </w:rPr>
              <w:t xml:space="preserve">A risk management exercise to review the </w:t>
            </w:r>
            <w:r w:rsidRPr="00FF3A9F">
              <w:rPr>
                <w:bCs/>
                <w:color w:val="4B4B4B"/>
                <w:lang w:eastAsia="en-US"/>
              </w:rPr>
              <w:t>contribution rates</w:t>
            </w:r>
            <w:r w:rsidRPr="00006244">
              <w:rPr>
                <w:color w:val="4B4B4B"/>
                <w:lang w:eastAsia="en-US"/>
              </w:rPr>
              <w:t xml:space="preserve">, and other statutory information for a Fund, and usually individual employers too.  </w:t>
            </w:r>
          </w:p>
        </w:tc>
      </w:tr>
    </w:tbl>
    <w:p w14:paraId="525B732D" w14:textId="77777777" w:rsidR="003E2FAD" w:rsidRPr="00484ED5" w:rsidRDefault="003E2FAD" w:rsidP="00484ED5">
      <w:pPr>
        <w:pStyle w:val="BodyTextGrey"/>
      </w:pPr>
    </w:p>
    <w:sectPr w:rsidR="003E2FAD" w:rsidRPr="00484ED5" w:rsidSect="00B459DE">
      <w:headerReference w:type="default" r:id="rId10"/>
      <w:footerReference w:type="default" r:id="rId11"/>
      <w:type w:val="continuous"/>
      <w:pgSz w:w="11906" w:h="16838"/>
      <w:pgMar w:top="1843" w:right="709" w:bottom="1134" w:left="1134" w:header="72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AE21C" w14:textId="77777777" w:rsidR="00CC1BF5" w:rsidRDefault="00CC1BF5" w:rsidP="004B7C6A">
      <w:pPr>
        <w:spacing w:line="240" w:lineRule="auto"/>
      </w:pPr>
      <w:r>
        <w:separator/>
      </w:r>
    </w:p>
  </w:endnote>
  <w:endnote w:type="continuationSeparator" w:id="0">
    <w:p w14:paraId="2CA7A720" w14:textId="77777777" w:rsidR="00CC1BF5" w:rsidRDefault="00CC1BF5" w:rsidP="004B7C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472B" w14:textId="6439A395" w:rsidR="003E2FAD" w:rsidRPr="005E4BE7" w:rsidRDefault="00484ED5" w:rsidP="00D77316">
    <w:pPr>
      <w:pStyle w:val="FooterText"/>
      <w:pBdr>
        <w:top w:val="single" w:sz="2" w:space="8" w:color="646464"/>
      </w:pBdr>
      <w:spacing w:before="60" w:after="60" w:line="240" w:lineRule="auto"/>
      <w:ind w:left="28"/>
      <w:contextualSpacing/>
      <w:rPr>
        <w:color w:val="3FA6CC" w:themeColor="accent4"/>
      </w:rPr>
    </w:pPr>
    <w:r>
      <w:rPr>
        <w:color w:val="3FA6CC" w:themeColor="accent4"/>
      </w:rPr>
      <w:t>July</w:t>
    </w:r>
    <w:r w:rsidR="00A26769">
      <w:rPr>
        <w:color w:val="3FA6CC" w:themeColor="accent4"/>
      </w:rPr>
      <w:t xml:space="preserve"> 202</w:t>
    </w:r>
    <w:r w:rsidR="00172AE4">
      <w:rPr>
        <w:color w:val="3FA6CC" w:themeColor="accent4"/>
      </w:rPr>
      <w:t>1</w:t>
    </w:r>
    <w:r w:rsidR="003E2FAD">
      <w:rPr>
        <w:color w:val="3FA6CC" w:themeColor="accent4"/>
      </w:rPr>
      <w:ptab w:relativeTo="margin" w:alignment="right" w:leader="none"/>
    </w:r>
    <w:r w:rsidR="003E2FAD" w:rsidRPr="00FF488B">
      <w:fldChar w:fldCharType="begin"/>
    </w:r>
    <w:r w:rsidR="003E2FAD" w:rsidRPr="00FF488B">
      <w:instrText xml:space="preserve"> PAGE \# "00#" </w:instrText>
    </w:r>
    <w:r w:rsidR="003E2FAD" w:rsidRPr="00FF488B">
      <w:fldChar w:fldCharType="separate"/>
    </w:r>
    <w:r w:rsidR="003E2FAD">
      <w:rPr>
        <w:noProof/>
      </w:rPr>
      <w:t>001</w:t>
    </w:r>
    <w:r w:rsidR="003E2FAD" w:rsidRPr="00FF488B">
      <w:fldChar w:fldCharType="end"/>
    </w:r>
  </w:p>
  <w:p w14:paraId="3F0F0DB2" w14:textId="7D3EDB75" w:rsidR="003E2FAD" w:rsidRPr="0002226A" w:rsidRDefault="003E2FAD" w:rsidP="00F11986">
    <w:pPr>
      <w:pStyle w:val="Filepath"/>
      <w:tabs>
        <w:tab w:val="right" w:pos="10063"/>
      </w:tabs>
      <w:spacing w:after="16" w:line="240" w:lineRule="auto"/>
      <w:ind w:left="0"/>
      <w:rPr>
        <w:noProof/>
        <w:color w:val="FFFFFF" w:themeColor="background1"/>
        <w:sz w:val="13"/>
        <w:szCs w:val="13"/>
      </w:rPr>
    </w:pPr>
    <w:r w:rsidRPr="0002226A">
      <w:rPr>
        <w:color w:val="FFFFFF" w:themeColor="background1"/>
        <w:sz w:val="13"/>
        <w:szCs w:val="13"/>
      </w:rPr>
      <w:fldChar w:fldCharType="begin"/>
    </w:r>
    <w:r w:rsidRPr="0002226A">
      <w:rPr>
        <w:color w:val="FFFFFF" w:themeColor="background1"/>
        <w:sz w:val="13"/>
        <w:szCs w:val="13"/>
      </w:rPr>
      <w:instrText xml:space="preserve"> FILENAME \p\* Upper \* MERGEFORMAT </w:instrText>
    </w:r>
    <w:r w:rsidRPr="0002226A">
      <w:rPr>
        <w:color w:val="FFFFFF" w:themeColor="background1"/>
        <w:sz w:val="13"/>
        <w:szCs w:val="13"/>
      </w:rPr>
      <w:fldChar w:fldCharType="separate"/>
    </w:r>
    <w:r w:rsidR="00217499">
      <w:rPr>
        <w:noProof/>
        <w:color w:val="FFFFFF" w:themeColor="background1"/>
        <w:sz w:val="13"/>
        <w:szCs w:val="13"/>
      </w:rPr>
      <w:t>HTTP://CLIENTS.HYMANS.CO.UK/CLIENTS/LONDONBOROUGHOF</w:t>
    </w:r>
    <w:r w:rsidR="00172AE4">
      <w:rPr>
        <w:noProof/>
        <w:color w:val="FFFFFF" w:themeColor="background1"/>
        <w:sz w:val="13"/>
        <w:szCs w:val="13"/>
      </w:rPr>
      <w:t>CAMDEN</w:t>
    </w:r>
    <w:r w:rsidR="00217499">
      <w:rPr>
        <w:noProof/>
        <w:color w:val="FFFFFF" w:themeColor="background1"/>
        <w:sz w:val="13"/>
        <w:szCs w:val="13"/>
      </w:rPr>
      <w:t xml:space="preserve">/ACTUARIALANDBENEFITS/VALUATION-2019/ADDITIONALADHOCWORK/200601 EXIT CREDIT POLICY - LONDON BOROUGH OF </w:t>
    </w:r>
    <w:r w:rsidR="00172AE4">
      <w:rPr>
        <w:noProof/>
        <w:color w:val="FFFFFF" w:themeColor="background1"/>
        <w:sz w:val="13"/>
        <w:szCs w:val="13"/>
      </w:rPr>
      <w:t>CAMDEN</w:t>
    </w:r>
    <w:r w:rsidR="00217499">
      <w:rPr>
        <w:noProof/>
        <w:color w:val="FFFFFF" w:themeColor="background1"/>
        <w:sz w:val="13"/>
        <w:szCs w:val="13"/>
      </w:rPr>
      <w:t>.DOCX</w:t>
    </w:r>
    <w:r w:rsidRPr="0002226A">
      <w:rPr>
        <w:noProof/>
        <w:color w:val="FFFFFF" w:themeColor="background1"/>
        <w:sz w:val="13"/>
        <w:szCs w:val="13"/>
      </w:rPr>
      <w:fldChar w:fldCharType="end"/>
    </w:r>
  </w:p>
  <w:p w14:paraId="3F8D2DAC" w14:textId="77777777" w:rsidR="003E2FAD" w:rsidRPr="00992B52" w:rsidRDefault="003E2FAD" w:rsidP="00F11986">
    <w:pPr>
      <w:pStyle w:val="Filepath"/>
      <w:tabs>
        <w:tab w:val="right" w:pos="10063"/>
      </w:tabs>
      <w:spacing w:after="16" w:line="240" w:lineRule="auto"/>
      <w:ind w:left="0"/>
      <w:rPr>
        <w:sz w:val="13"/>
        <w:szCs w:val="13"/>
      </w:rPr>
    </w:pPr>
    <w:r>
      <w:rPr>
        <w:noProof/>
      </w:rPr>
      <mc:AlternateContent>
        <mc:Choice Requires="wps">
          <w:drawing>
            <wp:anchor distT="0" distB="0" distL="114300" distR="114300" simplePos="0" relativeHeight="251661312" behindDoc="0" locked="0" layoutInCell="1" allowOverlap="1" wp14:anchorId="095E47B4" wp14:editId="00F16716">
              <wp:simplePos x="0" y="0"/>
              <wp:positionH relativeFrom="column">
                <wp:posOffset>1828800</wp:posOffset>
              </wp:positionH>
              <wp:positionV relativeFrom="paragraph">
                <wp:posOffset>10067925</wp:posOffset>
              </wp:positionV>
              <wp:extent cx="600075" cy="600075"/>
              <wp:effectExtent l="0" t="0" r="28575" b="285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FAEC0D" id="Rectangle 3" o:spid="_x0000_s1026" style="position:absolute;margin-left:2in;margin-top:792.75pt;width:47.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" fillcolor="#f06a00 [3204]" strokecolor="#773400 [1604]" strokeweight="2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3389C" w14:textId="77777777" w:rsidR="00CC1BF5" w:rsidRDefault="00CC1BF5" w:rsidP="004B7C6A">
      <w:pPr>
        <w:spacing w:line="240" w:lineRule="auto"/>
      </w:pPr>
      <w:r>
        <w:separator/>
      </w:r>
    </w:p>
  </w:footnote>
  <w:footnote w:type="continuationSeparator" w:id="0">
    <w:p w14:paraId="0481060F" w14:textId="77777777" w:rsidR="00CC1BF5" w:rsidRDefault="00CC1BF5" w:rsidP="004B7C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14F21" w14:textId="16962C99" w:rsidR="003E2FAD" w:rsidRPr="0031339D" w:rsidRDefault="003E2FAD" w:rsidP="0031339D">
    <w:pPr>
      <w:pStyle w:val="Header"/>
      <w:tabs>
        <w:tab w:val="clear" w:pos="9923"/>
      </w:tabs>
      <w:jc w:val="right"/>
      <w:rPr>
        <w:rStyle w:val="HeaderTextBlue"/>
        <w:caps w:val="0"/>
      </w:rPr>
    </w:pPr>
    <w:bookmarkStart w:id="2" w:name="Scheme"/>
    <w:r w:rsidRPr="003E77D3">
      <w:rPr>
        <w:rStyle w:val="HeaderTextGrey"/>
        <w:caps w:val="0"/>
        <w:noProof/>
      </w:rPr>
      <w:drawing>
        <wp:anchor distT="0" distB="0" distL="114300" distR="114300" simplePos="0" relativeHeight="251662336" behindDoc="1" locked="1" layoutInCell="1" allowOverlap="1" wp14:anchorId="3FECB0DD" wp14:editId="7649D431">
          <wp:simplePos x="0" y="0"/>
          <wp:positionH relativeFrom="page">
            <wp:align>left</wp:align>
          </wp:positionH>
          <wp:positionV relativeFrom="page">
            <wp:align>top</wp:align>
          </wp:positionV>
          <wp:extent cx="1566000" cy="151560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ty_second_cont.jpg"/>
                  <pic:cNvPicPr/>
                </pic:nvPicPr>
                <pic:blipFill rotWithShape="1">
                  <a:blip r:embed="rId1" cstate="print">
                    <a:extLst>
                      <a:ext uri="{28A0092B-C50C-407E-A947-70E740481C1C}">
                        <a14:useLocalDpi xmlns:a14="http://schemas.microsoft.com/office/drawing/2010/main" val="0"/>
                      </a:ext>
                    </a:extLst>
                  </a:blip>
                  <a:srcRect l="26757"/>
                  <a:stretch/>
                </pic:blipFill>
                <pic:spPr bwMode="auto">
                  <a:xfrm flipH="1">
                    <a:off x="0" y="0"/>
                    <a:ext cx="1566000" cy="151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4E6A">
      <w:rPr>
        <w:rStyle w:val="HeaderTextGrey"/>
        <w:caps w:val="0"/>
        <w:noProof/>
      </w:rPr>
      <w:t xml:space="preserve">APPENDIX A - </w:t>
    </w:r>
    <w:r w:rsidR="003E77D3" w:rsidRPr="003E77D3">
      <w:rPr>
        <w:rStyle w:val="HeaderTextGrey"/>
        <w:caps w:val="0"/>
        <w:noProof/>
      </w:rPr>
      <w:t xml:space="preserve">London Borough of </w:t>
    </w:r>
    <w:r w:rsidR="00172AE4">
      <w:rPr>
        <w:rStyle w:val="HeaderTextGrey"/>
        <w:caps w:val="0"/>
        <w:noProof/>
      </w:rPr>
      <w:t>Camden</w:t>
    </w:r>
    <w:r w:rsidR="003E77D3" w:rsidRPr="003E77D3">
      <w:rPr>
        <w:rStyle w:val="HeaderTextGrey"/>
        <w:caps w:val="0"/>
        <w:noProof/>
      </w:rPr>
      <w:t xml:space="preserve"> Pension Fund</w:t>
    </w:r>
    <w:bookmarkEnd w:id="2"/>
    <w:r w:rsidRPr="0031339D">
      <w:rPr>
        <w:rStyle w:val="HeaderChar"/>
        <w:caps/>
        <w:color w:val="455560"/>
      </w:rPr>
      <w:t xml:space="preserve">  </w:t>
    </w:r>
    <w:r w:rsidRPr="0031339D">
      <w:rPr>
        <w:rStyle w:val="HeaderTextBlue"/>
        <w:caps w:val="0"/>
      </w:rPr>
      <w:t>|  Hymans Robertson LLP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F75B8"/>
    <w:multiLevelType w:val="multilevel"/>
    <w:tmpl w:val="CDB05F26"/>
    <w:lvl w:ilvl="0">
      <w:start w:val="1"/>
      <w:numFmt w:val="decimal"/>
      <w:lvlRestart w:val="0"/>
      <w:pStyle w:val="Heading1Num"/>
      <w:isLgl/>
      <w:lvlText w:val="%1"/>
      <w:lvlJc w:val="left"/>
      <w:pPr>
        <w:tabs>
          <w:tab w:val="num" w:pos="567"/>
        </w:tabs>
        <w:ind w:left="567" w:hanging="567"/>
      </w:pPr>
      <w:rPr>
        <w:rFonts w:hint="default"/>
      </w:rPr>
    </w:lvl>
    <w:lvl w:ilvl="1">
      <w:start w:val="1"/>
      <w:numFmt w:val="decimal"/>
      <w:pStyle w:val="Heading2Num"/>
      <w:lvlText w:val="%1.%2"/>
      <w:lvlJc w:val="left"/>
      <w:pPr>
        <w:tabs>
          <w:tab w:val="num" w:pos="567"/>
        </w:tabs>
        <w:ind w:left="567" w:hanging="567"/>
      </w:pPr>
      <w:rPr>
        <w:rFonts w:hint="default"/>
      </w:rPr>
    </w:lvl>
    <w:lvl w:ilvl="2">
      <w:start w:val="1"/>
      <w:numFmt w:val="decimal"/>
      <w:pStyle w:val="Heading3Num"/>
      <w:lvlText w:val="%1.%2.%3"/>
      <w:lvlJc w:val="left"/>
      <w:pPr>
        <w:tabs>
          <w:tab w:val="num" w:pos="567"/>
        </w:tabs>
        <w:ind w:left="567"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DC91143"/>
    <w:multiLevelType w:val="multilevel"/>
    <w:tmpl w:val="C7D6DB6A"/>
    <w:lvl w:ilvl="0">
      <w:start w:val="1"/>
      <w:numFmt w:val="decimal"/>
      <w:lvlRestart w:val="0"/>
      <w:pStyle w:val="hNumber1"/>
      <w:isLg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266BE6"/>
    <w:multiLevelType w:val="hybridMultilevel"/>
    <w:tmpl w:val="BA30452A"/>
    <w:lvl w:ilvl="0" w:tplc="EE3C1B28">
      <w:start w:val="1"/>
      <w:numFmt w:val="bullet"/>
      <w:pStyle w:val="hBullet3"/>
      <w:lvlText w:val=""/>
      <w:lvlJc w:val="left"/>
      <w:pPr>
        <w:tabs>
          <w:tab w:val="num" w:pos="567"/>
        </w:tabs>
        <w:ind w:left="567"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A78D4"/>
    <w:multiLevelType w:val="multilevel"/>
    <w:tmpl w:val="A642D374"/>
    <w:styleLink w:val="HRNumber"/>
    <w:lvl w:ilvl="0">
      <w:start w:val="1"/>
      <w:numFmt w:val="decimal"/>
      <w:pStyle w:val="NumberHymans"/>
      <w:lvlText w:val="%1"/>
      <w:lvlJc w:val="left"/>
      <w:pPr>
        <w:ind w:left="567" w:hanging="567"/>
      </w:pPr>
      <w:rPr>
        <w:rFonts w:ascii="Arial" w:hAnsi="Arial" w:hint="default"/>
        <w:color w:val="4B4B4B"/>
        <w:sz w:val="20"/>
      </w:rPr>
    </w:lvl>
    <w:lvl w:ilvl="1">
      <w:start w:val="1"/>
      <w:numFmt w:val="decimal"/>
      <w:lvlText w:val="%1.%2"/>
      <w:lvlJc w:val="left"/>
      <w:pPr>
        <w:ind w:left="1134" w:hanging="567"/>
      </w:pPr>
      <w:rPr>
        <w:rFonts w:ascii="Arial" w:hAnsi="Arial" w:hint="default"/>
        <w:color w:val="4B4B4B"/>
        <w:sz w:val="20"/>
      </w:rPr>
    </w:lvl>
    <w:lvl w:ilvl="2">
      <w:start w:val="1"/>
      <w:numFmt w:val="decimal"/>
      <w:lvlText w:val="%1.%2.%3"/>
      <w:lvlJc w:val="left"/>
      <w:pPr>
        <w:ind w:left="1701" w:hanging="567"/>
      </w:pPr>
      <w:rPr>
        <w:rFonts w:ascii="Arial" w:hAnsi="Arial" w:hint="default"/>
        <w:color w:val="4B4B4B"/>
        <w:sz w:val="20"/>
      </w:rPr>
    </w:lvl>
    <w:lvl w:ilvl="3">
      <w:start w:val="1"/>
      <w:numFmt w:val="decimal"/>
      <w:lvlText w:val="%1.%2.%3.%4"/>
      <w:lvlJc w:val="left"/>
      <w:pPr>
        <w:ind w:left="1728" w:hanging="648"/>
      </w:pPr>
      <w:rPr>
        <w:rFonts w:ascii="Arial" w:hAnsi="Arial" w:hint="default"/>
        <w:color w:val="auto"/>
        <w:sz w:val="20"/>
      </w:rPr>
    </w:lvl>
    <w:lvl w:ilvl="4">
      <w:start w:val="1"/>
      <w:numFmt w:val="decimal"/>
      <w:lvlText w:val="%1.%2.%3.%4.%5"/>
      <w:lvlJc w:val="left"/>
      <w:pPr>
        <w:ind w:left="2232" w:hanging="792"/>
      </w:pPr>
      <w:rPr>
        <w:rFonts w:ascii="Arial" w:hAnsi="Arial" w:hint="default"/>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340C0E"/>
    <w:multiLevelType w:val="multilevel"/>
    <w:tmpl w:val="E682C106"/>
    <w:lvl w:ilvl="0">
      <w:start w:val="1"/>
      <w:numFmt w:val="bullet"/>
      <w:pStyle w:val="BodyBulletNew"/>
      <w:lvlText w:val=""/>
      <w:lvlJc w:val="left"/>
      <w:pPr>
        <w:ind w:left="567" w:hanging="567"/>
      </w:pPr>
      <w:rPr>
        <w:rFonts w:ascii="Symbol" w:hAnsi="Symbol" w:hint="default"/>
        <w:color w:val="4B4B4B"/>
        <w:sz w:val="20"/>
      </w:rPr>
    </w:lvl>
    <w:lvl w:ilvl="1">
      <w:start w:val="1"/>
      <w:numFmt w:val="decimal"/>
      <w:lvlText w:val="%1.%2"/>
      <w:lvlJc w:val="left"/>
      <w:pPr>
        <w:ind w:left="1134" w:hanging="567"/>
      </w:pPr>
      <w:rPr>
        <w:rFonts w:ascii="Arial" w:hAnsi="Arial" w:hint="default"/>
        <w:color w:val="4B4B4B"/>
        <w:sz w:val="20"/>
      </w:rPr>
    </w:lvl>
    <w:lvl w:ilvl="2">
      <w:start w:val="1"/>
      <w:numFmt w:val="decimal"/>
      <w:lvlText w:val="%1.%2.%3"/>
      <w:lvlJc w:val="left"/>
      <w:pPr>
        <w:ind w:left="1701" w:hanging="567"/>
      </w:pPr>
      <w:rPr>
        <w:rFonts w:ascii="Arial" w:hAnsi="Arial" w:hint="default"/>
        <w:color w:val="4B4B4B"/>
        <w:sz w:val="20"/>
      </w:rPr>
    </w:lvl>
    <w:lvl w:ilvl="3">
      <w:start w:val="1"/>
      <w:numFmt w:val="decimal"/>
      <w:lvlText w:val="%1.%2.%3.%4"/>
      <w:lvlJc w:val="left"/>
      <w:pPr>
        <w:ind w:left="1728" w:hanging="648"/>
      </w:pPr>
      <w:rPr>
        <w:rFonts w:ascii="Arial" w:hAnsi="Arial" w:hint="default"/>
        <w:color w:val="auto"/>
        <w:sz w:val="20"/>
      </w:rPr>
    </w:lvl>
    <w:lvl w:ilvl="4">
      <w:start w:val="1"/>
      <w:numFmt w:val="decimal"/>
      <w:lvlText w:val="%1.%2.%3.%4.%5"/>
      <w:lvlJc w:val="left"/>
      <w:pPr>
        <w:ind w:left="2232" w:hanging="792"/>
      </w:pPr>
      <w:rPr>
        <w:rFonts w:ascii="Arial" w:hAnsi="Arial" w:hint="default"/>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81F41E6"/>
    <w:multiLevelType w:val="multilevel"/>
    <w:tmpl w:val="4D8A0410"/>
    <w:styleLink w:val="HRBullet"/>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FA95BE4"/>
    <w:multiLevelType w:val="multilevel"/>
    <w:tmpl w:val="1E7E1C2C"/>
    <w:lvl w:ilvl="0">
      <w:start w:val="1"/>
      <w:numFmt w:val="decimal"/>
      <w:pStyle w:val="BulletHymansNew"/>
      <w:lvlText w:val="%1."/>
      <w:lvlJc w:val="left"/>
      <w:pPr>
        <w:tabs>
          <w:tab w:val="num" w:pos="720"/>
        </w:tabs>
        <w:ind w:left="720" w:hanging="720"/>
      </w:pPr>
    </w:lvl>
    <w:lvl w:ilvl="1">
      <w:start w:val="1"/>
      <w:numFmt w:val="decimal"/>
      <w:pStyle w:val="Heading2NumbersNew"/>
      <w:lvlText w:val="%2."/>
      <w:lvlJc w:val="left"/>
      <w:pPr>
        <w:tabs>
          <w:tab w:val="num" w:pos="1440"/>
        </w:tabs>
        <w:ind w:left="1440" w:hanging="720"/>
      </w:pPr>
    </w:lvl>
    <w:lvl w:ilvl="2">
      <w:start w:val="1"/>
      <w:numFmt w:val="decimal"/>
      <w:pStyle w:val="Heading4NumbersNew"/>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AA24828"/>
    <w:multiLevelType w:val="hybridMultilevel"/>
    <w:tmpl w:val="93025CA4"/>
    <w:lvl w:ilvl="0" w:tplc="E53A8D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7945A6"/>
    <w:multiLevelType w:val="multilevel"/>
    <w:tmpl w:val="B538BD02"/>
    <w:lvl w:ilvl="0">
      <w:start w:val="1"/>
      <w:numFmt w:val="bullet"/>
      <w:lvlRestart w:val="0"/>
      <w:pStyle w:val="hBullets"/>
      <w:lvlText w:val=""/>
      <w:lvlJc w:val="left"/>
      <w:pPr>
        <w:tabs>
          <w:tab w:val="num" w:pos="567"/>
        </w:tabs>
        <w:ind w:left="567" w:hanging="567"/>
      </w:pPr>
      <w:rPr>
        <w:rFonts w:ascii="Symbol" w:hAnsi="Symbol" w:hint="default"/>
        <w:b w:val="0"/>
        <w:i w:val="0"/>
        <w:color w:val="4B4B4B"/>
        <w:sz w:val="20"/>
        <w:szCs w:val="20"/>
      </w:rPr>
    </w:lvl>
    <w:lvl w:ilvl="1">
      <w:start w:val="1"/>
      <w:numFmt w:val="bullet"/>
      <w:lvlText w:val="-"/>
      <w:lvlJc w:val="left"/>
      <w:pPr>
        <w:tabs>
          <w:tab w:val="num" w:pos="1134"/>
        </w:tabs>
        <w:ind w:left="1134" w:hanging="567"/>
      </w:pPr>
      <w:rPr>
        <w:rFonts w:ascii="Arial" w:hAnsi="Arial" w:hint="default"/>
        <w:b w:val="0"/>
        <w:i w:val="0"/>
        <w:color w:val="4B4B4B"/>
        <w:sz w:val="20"/>
        <w:szCs w:val="20"/>
      </w:rPr>
    </w:lvl>
    <w:lvl w:ilvl="2">
      <w:start w:val="1"/>
      <w:numFmt w:val="bullet"/>
      <w:lvlText w:val=""/>
      <w:lvlJc w:val="left"/>
      <w:pPr>
        <w:tabs>
          <w:tab w:val="num" w:pos="1701"/>
        </w:tabs>
        <w:ind w:left="1701" w:hanging="567"/>
      </w:pPr>
      <w:rPr>
        <w:rFonts w:ascii="Symbol" w:hAnsi="Symbol" w:hint="default"/>
        <w:b w:val="0"/>
        <w:i w:val="0"/>
        <w:color w:val="4B4B4B"/>
        <w:sz w:val="20"/>
        <w:szCs w:val="20"/>
      </w:rPr>
    </w:lvl>
    <w:lvl w:ilvl="3">
      <w:start w:val="1"/>
      <w:numFmt w:val="bullet"/>
      <w:lvlText w:val=""/>
      <w:lvlJc w:val="left"/>
      <w:pPr>
        <w:tabs>
          <w:tab w:val="num" w:pos="2835"/>
        </w:tabs>
        <w:ind w:left="2835" w:hanging="567"/>
      </w:pPr>
      <w:rPr>
        <w:rFonts w:ascii="Symbol" w:hAnsi="Symbol" w:hint="default"/>
        <w:b w:val="0"/>
        <w:i w:val="0"/>
        <w:color w:val="auto"/>
        <w:sz w:val="22"/>
      </w:rPr>
    </w:lvl>
    <w:lvl w:ilvl="4">
      <w:start w:val="1"/>
      <w:numFmt w:val="bullet"/>
      <w:lvlText w:val="·"/>
      <w:lvlJc w:val="left"/>
      <w:pPr>
        <w:tabs>
          <w:tab w:val="num" w:pos="1418"/>
        </w:tabs>
        <w:ind w:left="1418" w:hanging="567"/>
      </w:pPr>
      <w:rPr>
        <w:rFonts w:ascii="Symbol" w:hAnsi="Symbol" w:hint="default"/>
        <w:b w:val="0"/>
        <w:i w:val="0"/>
        <w:color w:val="auto"/>
        <w:sz w:val="22"/>
      </w:rPr>
    </w:lvl>
    <w:lvl w:ilvl="5">
      <w:start w:val="1"/>
      <w:numFmt w:val="bullet"/>
      <w:lvlText w:val="·"/>
      <w:lvlJc w:val="left"/>
      <w:pPr>
        <w:tabs>
          <w:tab w:val="num" w:pos="1985"/>
        </w:tabs>
        <w:ind w:left="1985" w:hanging="567"/>
      </w:pPr>
      <w:rPr>
        <w:rFonts w:ascii="Symbol" w:hAnsi="Symbol" w:hint="default"/>
        <w:b w:val="0"/>
        <w:i w:val="0"/>
        <w:color w:val="auto"/>
        <w:sz w:val="22"/>
      </w:rPr>
    </w:lvl>
    <w:lvl w:ilvl="6">
      <w:start w:val="1"/>
      <w:numFmt w:val="bullet"/>
      <w:lvlRestart w:val="0"/>
      <w:lvlText w:val="·"/>
      <w:lvlJc w:val="left"/>
      <w:pPr>
        <w:tabs>
          <w:tab w:val="num" w:pos="851"/>
        </w:tabs>
        <w:ind w:left="851" w:hanging="851"/>
      </w:pPr>
      <w:rPr>
        <w:rFonts w:ascii="Symbol" w:hAnsi="Symbol" w:hint="default"/>
        <w:b w:val="0"/>
        <w:i w:val="0"/>
        <w:color w:val="auto"/>
        <w:sz w:val="22"/>
      </w:rPr>
    </w:lvl>
    <w:lvl w:ilvl="7">
      <w:start w:val="1"/>
      <w:numFmt w:val="bullet"/>
      <w:lvlRestart w:val="0"/>
      <w:lvlText w:val="·"/>
      <w:lvlJc w:val="left"/>
      <w:pPr>
        <w:tabs>
          <w:tab w:val="num" w:pos="1418"/>
        </w:tabs>
        <w:ind w:left="1418" w:hanging="567"/>
      </w:pPr>
      <w:rPr>
        <w:rFonts w:ascii="Symbol" w:hAnsi="Symbol" w:hint="default"/>
        <w:b w:val="0"/>
        <w:i w:val="0"/>
        <w:color w:val="auto"/>
        <w:sz w:val="22"/>
      </w:rPr>
    </w:lvl>
    <w:lvl w:ilvl="8">
      <w:start w:val="1"/>
      <w:numFmt w:val="bullet"/>
      <w:lvlText w:val="·"/>
      <w:lvlJc w:val="left"/>
      <w:pPr>
        <w:tabs>
          <w:tab w:val="num" w:pos="1985"/>
        </w:tabs>
        <w:ind w:left="1985" w:hanging="567"/>
      </w:pPr>
      <w:rPr>
        <w:rFonts w:ascii="Symbol" w:hAnsi="Symbol" w:hint="default"/>
        <w:b w:val="0"/>
        <w:i w:val="0"/>
        <w:color w:val="auto"/>
        <w:sz w:val="22"/>
      </w:rPr>
    </w:lvl>
  </w:abstractNum>
  <w:abstractNum w:abstractNumId="9" w15:restartNumberingAfterBreak="0">
    <w:nsid w:val="700E2211"/>
    <w:multiLevelType w:val="hybridMultilevel"/>
    <w:tmpl w:val="5A747B5E"/>
    <w:lvl w:ilvl="0" w:tplc="37F066BE">
      <w:start w:val="1"/>
      <w:numFmt w:val="decimal"/>
      <w:pStyle w:val="TenderQuestion"/>
      <w:lvlText w:val="Q%1."/>
      <w:lvlJc w:val="left"/>
      <w:pPr>
        <w:ind w:left="720" w:hanging="360"/>
      </w:pPr>
      <w:rPr>
        <w:rFonts w:hint="default"/>
        <w:color w:val="3FA6CC"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1B6F24"/>
    <w:multiLevelType w:val="hybridMultilevel"/>
    <w:tmpl w:val="2834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825E7"/>
    <w:multiLevelType w:val="multilevel"/>
    <w:tmpl w:val="567E87DA"/>
    <w:lvl w:ilvl="0">
      <w:start w:val="1"/>
      <w:numFmt w:val="bullet"/>
      <w:pStyle w:val="hBullet1"/>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418"/>
        </w:tabs>
        <w:ind w:left="1418" w:hanging="567"/>
      </w:pPr>
      <w:rPr>
        <w:rFonts w:ascii="Symbol" w:hAnsi="Symbol" w:hint="default"/>
        <w:color w:val="auto"/>
      </w:rPr>
    </w:lvl>
    <w:lvl w:ilvl="2">
      <w:start w:val="1"/>
      <w:numFmt w:val="bullet"/>
      <w:lvlText w:val="·"/>
      <w:lvlJc w:val="left"/>
      <w:pPr>
        <w:tabs>
          <w:tab w:val="num" w:pos="1985"/>
        </w:tabs>
        <w:ind w:left="1985" w:hanging="567"/>
      </w:pPr>
      <w:rPr>
        <w:rFonts w:ascii="Symbol" w:hAnsi="Symbol" w:hint="default"/>
        <w:color w:val="auto"/>
      </w:rPr>
    </w:lvl>
    <w:lvl w:ilvl="3">
      <w:start w:val="1"/>
      <w:numFmt w:val="bullet"/>
      <w:lvlText w:val="·"/>
      <w:lvlJc w:val="left"/>
      <w:pPr>
        <w:tabs>
          <w:tab w:val="num" w:pos="1418"/>
        </w:tabs>
        <w:ind w:left="1418" w:hanging="567"/>
      </w:pPr>
      <w:rPr>
        <w:rFonts w:ascii="Symbol" w:hAnsi="Symbol" w:hint="default"/>
        <w:color w:val="auto"/>
      </w:rPr>
    </w:lvl>
    <w:lvl w:ilvl="4">
      <w:start w:val="1"/>
      <w:numFmt w:val="bullet"/>
      <w:lvlText w:val="·"/>
      <w:lvlJc w:val="left"/>
      <w:pPr>
        <w:tabs>
          <w:tab w:val="num" w:pos="851"/>
        </w:tabs>
        <w:ind w:left="851" w:hanging="851"/>
      </w:pPr>
      <w:rPr>
        <w:rFonts w:ascii="Symbol" w:hAnsi="Symbol"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79E803A7"/>
    <w:multiLevelType w:val="hybridMultilevel"/>
    <w:tmpl w:val="12C68C94"/>
    <w:lvl w:ilvl="0" w:tplc="E424C0AC">
      <w:start w:val="1"/>
      <w:numFmt w:val="bullet"/>
      <w:pStyle w:val="hBullet2"/>
      <w:lvlText w:val=""/>
      <w:lvlJc w:val="left"/>
      <w:pPr>
        <w:tabs>
          <w:tab w:val="num" w:pos="1418"/>
        </w:tabs>
        <w:ind w:left="1418" w:hanging="56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1"/>
  </w:num>
  <w:num w:numId="4">
    <w:abstractNumId w:val="12"/>
  </w:num>
  <w:num w:numId="5">
    <w:abstractNumId w:val="2"/>
  </w:num>
  <w:num w:numId="6">
    <w:abstractNumId w:val="8"/>
  </w:num>
  <w:num w:numId="7">
    <w:abstractNumId w:val="1"/>
  </w:num>
  <w:num w:numId="8">
    <w:abstractNumId w:val="9"/>
  </w:num>
  <w:num w:numId="9">
    <w:abstractNumId w:val="0"/>
  </w:num>
  <w:num w:numId="10">
    <w:abstractNumId w:val="5"/>
  </w:num>
  <w:num w:numId="11">
    <w:abstractNumId w:val="3"/>
  </w:num>
  <w:num w:numId="12">
    <w:abstractNumId w:val="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46"/>
    <w:rsid w:val="00005E85"/>
    <w:rsid w:val="00006244"/>
    <w:rsid w:val="0002226A"/>
    <w:rsid w:val="000266BC"/>
    <w:rsid w:val="00031FBF"/>
    <w:rsid w:val="00036151"/>
    <w:rsid w:val="00053372"/>
    <w:rsid w:val="000679BD"/>
    <w:rsid w:val="000703A6"/>
    <w:rsid w:val="000930DE"/>
    <w:rsid w:val="00096297"/>
    <w:rsid w:val="000A7230"/>
    <w:rsid w:val="000B2780"/>
    <w:rsid w:val="000C3B8D"/>
    <w:rsid w:val="000D6D16"/>
    <w:rsid w:val="000E2161"/>
    <w:rsid w:val="000E21D1"/>
    <w:rsid w:val="000E5361"/>
    <w:rsid w:val="000F0C8F"/>
    <w:rsid w:val="000F1617"/>
    <w:rsid w:val="000F23C2"/>
    <w:rsid w:val="000F2872"/>
    <w:rsid w:val="000F2C48"/>
    <w:rsid w:val="00101696"/>
    <w:rsid w:val="00124E3C"/>
    <w:rsid w:val="001256A4"/>
    <w:rsid w:val="00126DC1"/>
    <w:rsid w:val="0013008F"/>
    <w:rsid w:val="00132EA7"/>
    <w:rsid w:val="00144F4F"/>
    <w:rsid w:val="00146357"/>
    <w:rsid w:val="001551B9"/>
    <w:rsid w:val="00156F81"/>
    <w:rsid w:val="00160497"/>
    <w:rsid w:val="00163C1B"/>
    <w:rsid w:val="00172AE4"/>
    <w:rsid w:val="001816BE"/>
    <w:rsid w:val="00196FEF"/>
    <w:rsid w:val="001A3B02"/>
    <w:rsid w:val="001A648E"/>
    <w:rsid w:val="001C3D68"/>
    <w:rsid w:val="001C51EF"/>
    <w:rsid w:val="001C52D2"/>
    <w:rsid w:val="001C779F"/>
    <w:rsid w:val="00201DE9"/>
    <w:rsid w:val="00206193"/>
    <w:rsid w:val="00217499"/>
    <w:rsid w:val="00226D1F"/>
    <w:rsid w:val="0023029B"/>
    <w:rsid w:val="00236CE8"/>
    <w:rsid w:val="002465EF"/>
    <w:rsid w:val="00247BEF"/>
    <w:rsid w:val="002511D1"/>
    <w:rsid w:val="00265275"/>
    <w:rsid w:val="002703C3"/>
    <w:rsid w:val="00277090"/>
    <w:rsid w:val="00283356"/>
    <w:rsid w:val="002863AA"/>
    <w:rsid w:val="00286C95"/>
    <w:rsid w:val="00292E12"/>
    <w:rsid w:val="002B1C49"/>
    <w:rsid w:val="002C13AC"/>
    <w:rsid w:val="002D3D56"/>
    <w:rsid w:val="002E1AD7"/>
    <w:rsid w:val="002E42B6"/>
    <w:rsid w:val="002E61FC"/>
    <w:rsid w:val="002F6ECD"/>
    <w:rsid w:val="00307D84"/>
    <w:rsid w:val="0031339D"/>
    <w:rsid w:val="003139F0"/>
    <w:rsid w:val="003259D8"/>
    <w:rsid w:val="003270C0"/>
    <w:rsid w:val="00333BAC"/>
    <w:rsid w:val="00335743"/>
    <w:rsid w:val="00335C57"/>
    <w:rsid w:val="003409B5"/>
    <w:rsid w:val="00341EC5"/>
    <w:rsid w:val="003502FA"/>
    <w:rsid w:val="0035108E"/>
    <w:rsid w:val="00355393"/>
    <w:rsid w:val="00355BAD"/>
    <w:rsid w:val="00361523"/>
    <w:rsid w:val="00363088"/>
    <w:rsid w:val="003829E4"/>
    <w:rsid w:val="003926FC"/>
    <w:rsid w:val="003944ED"/>
    <w:rsid w:val="003B1507"/>
    <w:rsid w:val="003C1575"/>
    <w:rsid w:val="003D08BD"/>
    <w:rsid w:val="003D4020"/>
    <w:rsid w:val="003D6D47"/>
    <w:rsid w:val="003E062D"/>
    <w:rsid w:val="003E2495"/>
    <w:rsid w:val="003E2FAD"/>
    <w:rsid w:val="003E77D3"/>
    <w:rsid w:val="003F2370"/>
    <w:rsid w:val="0040577A"/>
    <w:rsid w:val="00405C9D"/>
    <w:rsid w:val="00406EB7"/>
    <w:rsid w:val="004139E3"/>
    <w:rsid w:val="004203FD"/>
    <w:rsid w:val="004344CB"/>
    <w:rsid w:val="00436D46"/>
    <w:rsid w:val="00440282"/>
    <w:rsid w:val="00443599"/>
    <w:rsid w:val="00443D75"/>
    <w:rsid w:val="00454927"/>
    <w:rsid w:val="004640DC"/>
    <w:rsid w:val="00467AEF"/>
    <w:rsid w:val="00472852"/>
    <w:rsid w:val="00474391"/>
    <w:rsid w:val="00475FE1"/>
    <w:rsid w:val="004778B5"/>
    <w:rsid w:val="004800F5"/>
    <w:rsid w:val="004808F2"/>
    <w:rsid w:val="00483EA2"/>
    <w:rsid w:val="00484ED5"/>
    <w:rsid w:val="0048738D"/>
    <w:rsid w:val="00490D88"/>
    <w:rsid w:val="00496B48"/>
    <w:rsid w:val="004A1E59"/>
    <w:rsid w:val="004B5D2C"/>
    <w:rsid w:val="004B6222"/>
    <w:rsid w:val="004B7C6A"/>
    <w:rsid w:val="004E12EE"/>
    <w:rsid w:val="004E41FE"/>
    <w:rsid w:val="004E5949"/>
    <w:rsid w:val="004F0474"/>
    <w:rsid w:val="004F3F17"/>
    <w:rsid w:val="004F4326"/>
    <w:rsid w:val="00503251"/>
    <w:rsid w:val="00503F3C"/>
    <w:rsid w:val="00521889"/>
    <w:rsid w:val="00527CFC"/>
    <w:rsid w:val="00530D6D"/>
    <w:rsid w:val="00535F02"/>
    <w:rsid w:val="00537F12"/>
    <w:rsid w:val="00540803"/>
    <w:rsid w:val="0054545C"/>
    <w:rsid w:val="00550533"/>
    <w:rsid w:val="00560CD7"/>
    <w:rsid w:val="00562C5D"/>
    <w:rsid w:val="00566307"/>
    <w:rsid w:val="00571309"/>
    <w:rsid w:val="0057761B"/>
    <w:rsid w:val="00586E22"/>
    <w:rsid w:val="005B7E51"/>
    <w:rsid w:val="005C6F25"/>
    <w:rsid w:val="005D14B0"/>
    <w:rsid w:val="005F055C"/>
    <w:rsid w:val="005F5622"/>
    <w:rsid w:val="00605DE8"/>
    <w:rsid w:val="00611777"/>
    <w:rsid w:val="00621597"/>
    <w:rsid w:val="00626083"/>
    <w:rsid w:val="00631320"/>
    <w:rsid w:val="00641E34"/>
    <w:rsid w:val="00645B85"/>
    <w:rsid w:val="00650339"/>
    <w:rsid w:val="00650E58"/>
    <w:rsid w:val="00686BB2"/>
    <w:rsid w:val="00690491"/>
    <w:rsid w:val="006A5D15"/>
    <w:rsid w:val="006B44C8"/>
    <w:rsid w:val="006B5000"/>
    <w:rsid w:val="006C052C"/>
    <w:rsid w:val="006C3882"/>
    <w:rsid w:val="006C4760"/>
    <w:rsid w:val="006C79B6"/>
    <w:rsid w:val="006D74B9"/>
    <w:rsid w:val="006E39D5"/>
    <w:rsid w:val="006E5939"/>
    <w:rsid w:val="006F5C75"/>
    <w:rsid w:val="00710355"/>
    <w:rsid w:val="00713D23"/>
    <w:rsid w:val="00720A35"/>
    <w:rsid w:val="00721142"/>
    <w:rsid w:val="00722684"/>
    <w:rsid w:val="00725E71"/>
    <w:rsid w:val="00726595"/>
    <w:rsid w:val="00730680"/>
    <w:rsid w:val="00740F70"/>
    <w:rsid w:val="00743296"/>
    <w:rsid w:val="00744033"/>
    <w:rsid w:val="007508DE"/>
    <w:rsid w:val="00755EFD"/>
    <w:rsid w:val="007570FF"/>
    <w:rsid w:val="007726C9"/>
    <w:rsid w:val="00774BAF"/>
    <w:rsid w:val="00776B38"/>
    <w:rsid w:val="00780B86"/>
    <w:rsid w:val="00781889"/>
    <w:rsid w:val="00792B22"/>
    <w:rsid w:val="007B777C"/>
    <w:rsid w:val="007C276C"/>
    <w:rsid w:val="007C3E9E"/>
    <w:rsid w:val="007D27D7"/>
    <w:rsid w:val="007D5570"/>
    <w:rsid w:val="007D7215"/>
    <w:rsid w:val="007F3418"/>
    <w:rsid w:val="007F37BD"/>
    <w:rsid w:val="00801391"/>
    <w:rsid w:val="00830292"/>
    <w:rsid w:val="008355BB"/>
    <w:rsid w:val="008361F7"/>
    <w:rsid w:val="008421AA"/>
    <w:rsid w:val="00855415"/>
    <w:rsid w:val="0086247A"/>
    <w:rsid w:val="00862D8F"/>
    <w:rsid w:val="008761D7"/>
    <w:rsid w:val="0087746B"/>
    <w:rsid w:val="0089780B"/>
    <w:rsid w:val="008C0A2F"/>
    <w:rsid w:val="008C17BC"/>
    <w:rsid w:val="008C4844"/>
    <w:rsid w:val="008C6895"/>
    <w:rsid w:val="008D5495"/>
    <w:rsid w:val="008D6566"/>
    <w:rsid w:val="008D7C65"/>
    <w:rsid w:val="008E133E"/>
    <w:rsid w:val="008E5F18"/>
    <w:rsid w:val="008F673C"/>
    <w:rsid w:val="00902169"/>
    <w:rsid w:val="00904363"/>
    <w:rsid w:val="009150FF"/>
    <w:rsid w:val="0092611D"/>
    <w:rsid w:val="00941E69"/>
    <w:rsid w:val="00960883"/>
    <w:rsid w:val="009645DC"/>
    <w:rsid w:val="00964A9D"/>
    <w:rsid w:val="00987094"/>
    <w:rsid w:val="00990AC5"/>
    <w:rsid w:val="009922AD"/>
    <w:rsid w:val="00992B37"/>
    <w:rsid w:val="00992B52"/>
    <w:rsid w:val="00996F3A"/>
    <w:rsid w:val="00997213"/>
    <w:rsid w:val="009A5E2B"/>
    <w:rsid w:val="009B33DC"/>
    <w:rsid w:val="009C07C0"/>
    <w:rsid w:val="009C105A"/>
    <w:rsid w:val="009D28E6"/>
    <w:rsid w:val="009E727D"/>
    <w:rsid w:val="00A051E1"/>
    <w:rsid w:val="00A11F5E"/>
    <w:rsid w:val="00A1358A"/>
    <w:rsid w:val="00A156D1"/>
    <w:rsid w:val="00A22735"/>
    <w:rsid w:val="00A22CD6"/>
    <w:rsid w:val="00A22D8D"/>
    <w:rsid w:val="00A232FA"/>
    <w:rsid w:val="00A243B2"/>
    <w:rsid w:val="00A26769"/>
    <w:rsid w:val="00A311C6"/>
    <w:rsid w:val="00A349CD"/>
    <w:rsid w:val="00A35DFC"/>
    <w:rsid w:val="00A41703"/>
    <w:rsid w:val="00A50CE6"/>
    <w:rsid w:val="00A53ED7"/>
    <w:rsid w:val="00A54FB2"/>
    <w:rsid w:val="00A55BDF"/>
    <w:rsid w:val="00A579F0"/>
    <w:rsid w:val="00A60200"/>
    <w:rsid w:val="00A60B96"/>
    <w:rsid w:val="00A6135C"/>
    <w:rsid w:val="00A67568"/>
    <w:rsid w:val="00A77E49"/>
    <w:rsid w:val="00A82807"/>
    <w:rsid w:val="00A84884"/>
    <w:rsid w:val="00A95CD9"/>
    <w:rsid w:val="00A95E83"/>
    <w:rsid w:val="00A96071"/>
    <w:rsid w:val="00AB6BE3"/>
    <w:rsid w:val="00AB728A"/>
    <w:rsid w:val="00AC0AD2"/>
    <w:rsid w:val="00AC1DBE"/>
    <w:rsid w:val="00AC4908"/>
    <w:rsid w:val="00AD2D81"/>
    <w:rsid w:val="00AD5D80"/>
    <w:rsid w:val="00AE69A6"/>
    <w:rsid w:val="00AF74C3"/>
    <w:rsid w:val="00B04FF4"/>
    <w:rsid w:val="00B13670"/>
    <w:rsid w:val="00B252CF"/>
    <w:rsid w:val="00B25B48"/>
    <w:rsid w:val="00B25C4A"/>
    <w:rsid w:val="00B31A00"/>
    <w:rsid w:val="00B459DE"/>
    <w:rsid w:val="00B51285"/>
    <w:rsid w:val="00B62152"/>
    <w:rsid w:val="00B629EF"/>
    <w:rsid w:val="00B62BCC"/>
    <w:rsid w:val="00B81F86"/>
    <w:rsid w:val="00B83193"/>
    <w:rsid w:val="00B91509"/>
    <w:rsid w:val="00B972BD"/>
    <w:rsid w:val="00BA31AB"/>
    <w:rsid w:val="00BA349F"/>
    <w:rsid w:val="00BB3CF5"/>
    <w:rsid w:val="00BB4E6A"/>
    <w:rsid w:val="00BB6D82"/>
    <w:rsid w:val="00BD1F48"/>
    <w:rsid w:val="00BD5D13"/>
    <w:rsid w:val="00BE568A"/>
    <w:rsid w:val="00BF376A"/>
    <w:rsid w:val="00BF4DA1"/>
    <w:rsid w:val="00C05A89"/>
    <w:rsid w:val="00C1178E"/>
    <w:rsid w:val="00C134AB"/>
    <w:rsid w:val="00C15450"/>
    <w:rsid w:val="00C44EE0"/>
    <w:rsid w:val="00C45285"/>
    <w:rsid w:val="00C45DC5"/>
    <w:rsid w:val="00C53103"/>
    <w:rsid w:val="00C5652B"/>
    <w:rsid w:val="00C756C1"/>
    <w:rsid w:val="00C87AC7"/>
    <w:rsid w:val="00C90529"/>
    <w:rsid w:val="00C97C5E"/>
    <w:rsid w:val="00CA326D"/>
    <w:rsid w:val="00CC12D9"/>
    <w:rsid w:val="00CC1BF5"/>
    <w:rsid w:val="00CC44B0"/>
    <w:rsid w:val="00CD026E"/>
    <w:rsid w:val="00CD4570"/>
    <w:rsid w:val="00CD4AEF"/>
    <w:rsid w:val="00CD639F"/>
    <w:rsid w:val="00CF5C1A"/>
    <w:rsid w:val="00D0012C"/>
    <w:rsid w:val="00D1643F"/>
    <w:rsid w:val="00D17DC8"/>
    <w:rsid w:val="00D17E91"/>
    <w:rsid w:val="00D32AAF"/>
    <w:rsid w:val="00D35333"/>
    <w:rsid w:val="00D363F4"/>
    <w:rsid w:val="00D476C4"/>
    <w:rsid w:val="00D556AF"/>
    <w:rsid w:val="00D77316"/>
    <w:rsid w:val="00D77D1E"/>
    <w:rsid w:val="00D82BA9"/>
    <w:rsid w:val="00D95A56"/>
    <w:rsid w:val="00DA1F43"/>
    <w:rsid w:val="00DA6F77"/>
    <w:rsid w:val="00DC0573"/>
    <w:rsid w:val="00DC78CA"/>
    <w:rsid w:val="00DE318D"/>
    <w:rsid w:val="00DF70F2"/>
    <w:rsid w:val="00E01C0C"/>
    <w:rsid w:val="00E07CEA"/>
    <w:rsid w:val="00E25BD5"/>
    <w:rsid w:val="00E279FB"/>
    <w:rsid w:val="00E302AD"/>
    <w:rsid w:val="00E42692"/>
    <w:rsid w:val="00E46B21"/>
    <w:rsid w:val="00E4772F"/>
    <w:rsid w:val="00E47B53"/>
    <w:rsid w:val="00E62D02"/>
    <w:rsid w:val="00E9359E"/>
    <w:rsid w:val="00EB1BC9"/>
    <w:rsid w:val="00EB1FE3"/>
    <w:rsid w:val="00EC2131"/>
    <w:rsid w:val="00ED21A3"/>
    <w:rsid w:val="00ED4DFE"/>
    <w:rsid w:val="00EE3FCD"/>
    <w:rsid w:val="00EF074B"/>
    <w:rsid w:val="00EF2BC5"/>
    <w:rsid w:val="00EF771C"/>
    <w:rsid w:val="00F03192"/>
    <w:rsid w:val="00F03F5E"/>
    <w:rsid w:val="00F068EC"/>
    <w:rsid w:val="00F11986"/>
    <w:rsid w:val="00F2132E"/>
    <w:rsid w:val="00F273C6"/>
    <w:rsid w:val="00F31B69"/>
    <w:rsid w:val="00F35FF0"/>
    <w:rsid w:val="00F369CD"/>
    <w:rsid w:val="00F46C25"/>
    <w:rsid w:val="00F54AB9"/>
    <w:rsid w:val="00F566F2"/>
    <w:rsid w:val="00F6250F"/>
    <w:rsid w:val="00F65288"/>
    <w:rsid w:val="00F66596"/>
    <w:rsid w:val="00F7211F"/>
    <w:rsid w:val="00F76993"/>
    <w:rsid w:val="00F77AA7"/>
    <w:rsid w:val="00F8366C"/>
    <w:rsid w:val="00F83753"/>
    <w:rsid w:val="00FA42A8"/>
    <w:rsid w:val="00FA77B6"/>
    <w:rsid w:val="00FB1E3B"/>
    <w:rsid w:val="00FC2D14"/>
    <w:rsid w:val="00FC36A9"/>
    <w:rsid w:val="00FD1B5D"/>
    <w:rsid w:val="00FD367E"/>
    <w:rsid w:val="00FD7583"/>
    <w:rsid w:val="00FF3A9F"/>
    <w:rsid w:val="00FF6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EFE8AC"/>
  <w15:docId w15:val="{1110F54F-F55B-46FC-B956-A5587D1C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20" w:after="20"/>
      </w:pPr>
    </w:pPrDefault>
  </w:docDefaults>
  <w:latentStyles w:defLockedState="0" w:defUIPriority="99" w:defSemiHidden="0" w:defUnhideWhenUsed="0" w:defQFormat="0" w:count="376">
    <w:lsdException w:name="Normal" w:uiPriority="3"/>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lsdException w:name="toc 2" w:semiHidden="1" w:uiPriority="3" w:unhideWhenUsed="1"/>
    <w:lsdException w:name="toc 3" w:semiHidden="1" w:uiPriority="3" w:unhideWhenUsed="1"/>
    <w:lsdException w:name="toc 4" w:semiHidden="1" w:uiPriority="3"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3" w:unhideWhenUsed="1"/>
    <w:lsdException w:name="index heading" w:semiHidden="1" w:unhideWhenUsed="1"/>
    <w:lsdException w:name="caption" w:semiHidden="1" w:uiPriority="4"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rsid w:val="00BB3CF5"/>
    <w:pPr>
      <w:spacing w:after="0" w:line="280" w:lineRule="atLeast"/>
      <w:jc w:val="both"/>
    </w:pPr>
    <w:rPr>
      <w:rFonts w:ascii="Arial" w:hAnsi="Arial" w:cs="Arial"/>
      <w:iCs/>
      <w:color w:val="3FA6CC" w:themeColor="text1"/>
    </w:rPr>
  </w:style>
  <w:style w:type="paragraph" w:styleId="Heading1">
    <w:name w:val="heading 1"/>
    <w:next w:val="BodyTextGrey"/>
    <w:link w:val="Heading1Char"/>
    <w:qFormat/>
    <w:rsid w:val="00F7211F"/>
    <w:pPr>
      <w:keepNext/>
      <w:keepLines/>
      <w:spacing w:before="140" w:after="140" w:line="360" w:lineRule="atLeast"/>
      <w:outlineLvl w:val="0"/>
    </w:pPr>
    <w:rPr>
      <w:rFonts w:ascii="Arial" w:hAnsi="Arial"/>
      <w:color w:val="3FA6CC" w:themeColor="text1"/>
      <w:kern w:val="28"/>
      <w:sz w:val="36"/>
      <w:lang w:eastAsia="en-US"/>
    </w:rPr>
  </w:style>
  <w:style w:type="paragraph" w:styleId="Heading2">
    <w:name w:val="heading 2"/>
    <w:next w:val="BodyTextGrey"/>
    <w:link w:val="Heading2Char"/>
    <w:qFormat/>
    <w:rsid w:val="00163C1B"/>
    <w:pPr>
      <w:keepNext/>
      <w:keepLines/>
      <w:spacing w:before="0" w:after="0" w:line="280" w:lineRule="atLeast"/>
      <w:outlineLvl w:val="1"/>
    </w:pPr>
    <w:rPr>
      <w:rFonts w:ascii="Arial" w:hAnsi="Arial" w:cs="Arial"/>
      <w:b/>
      <w:iCs/>
      <w:color w:val="6EC040" w:themeColor="accent6"/>
      <w:lang w:eastAsia="en-US"/>
    </w:rPr>
  </w:style>
  <w:style w:type="paragraph" w:styleId="Heading3">
    <w:name w:val="heading 3"/>
    <w:next w:val="BodyTextGrey"/>
    <w:link w:val="Heading3Char"/>
    <w:qFormat/>
    <w:rsid w:val="00E25BD5"/>
    <w:pPr>
      <w:keepNext/>
      <w:keepLines/>
      <w:spacing w:line="280" w:lineRule="atLeast"/>
      <w:outlineLvl w:val="2"/>
    </w:pPr>
    <w:rPr>
      <w:rFonts w:ascii="Arial" w:hAnsi="Arial" w:cs="Arial"/>
      <w:b/>
      <w:iCs/>
      <w:color w:val="3FA6CC" w:themeColor="text1"/>
      <w:lang w:eastAsia="en-US"/>
    </w:rPr>
  </w:style>
  <w:style w:type="paragraph" w:styleId="Heading4">
    <w:name w:val="heading 4"/>
    <w:next w:val="BodyTextGrey"/>
    <w:link w:val="Heading4Char"/>
    <w:qFormat/>
    <w:rsid w:val="000266BC"/>
    <w:pPr>
      <w:tabs>
        <w:tab w:val="num" w:pos="0"/>
      </w:tabs>
      <w:spacing w:line="280" w:lineRule="atLeast"/>
      <w:outlineLvl w:val="3"/>
    </w:pPr>
    <w:rPr>
      <w:rFonts w:ascii="Arial" w:hAnsi="Arial" w:cs="Arial"/>
      <w:b/>
      <w:iCs/>
      <w:color w:val="455560"/>
      <w:lang w:eastAsia="en-US"/>
    </w:rPr>
  </w:style>
  <w:style w:type="paragraph" w:styleId="Heading5">
    <w:name w:val="heading 5"/>
    <w:aliases w:val="Briefing note heading"/>
    <w:next w:val="Normal"/>
    <w:link w:val="Heading5Char"/>
    <w:uiPriority w:val="4"/>
    <w:unhideWhenUsed/>
    <w:rsid w:val="00621597"/>
    <w:pPr>
      <w:spacing w:before="240" w:after="60"/>
      <w:jc w:val="both"/>
      <w:outlineLvl w:val="4"/>
    </w:pPr>
    <w:rPr>
      <w:rFonts w:ascii="Arial" w:hAnsi="Arial" w:cs="Tahoma"/>
      <w:color w:val="40A6CC"/>
      <w:spacing w:val="20"/>
      <w:szCs w:val="146"/>
    </w:rPr>
  </w:style>
  <w:style w:type="paragraph" w:styleId="Heading6">
    <w:name w:val="heading 6"/>
    <w:basedOn w:val="Normal"/>
    <w:next w:val="Normal"/>
    <w:link w:val="Heading6Char"/>
    <w:uiPriority w:val="4"/>
    <w:unhideWhenUsed/>
    <w:rsid w:val="00621597"/>
    <w:pPr>
      <w:tabs>
        <w:tab w:val="num" w:pos="0"/>
      </w:tabs>
      <w:spacing w:before="240" w:after="60"/>
      <w:outlineLvl w:val="5"/>
    </w:pPr>
    <w:rPr>
      <w:i/>
    </w:rPr>
  </w:style>
  <w:style w:type="paragraph" w:styleId="Heading7">
    <w:name w:val="heading 7"/>
    <w:basedOn w:val="Normal"/>
    <w:next w:val="Normal"/>
    <w:link w:val="Heading7Char"/>
    <w:uiPriority w:val="4"/>
    <w:semiHidden/>
    <w:unhideWhenUsed/>
    <w:rsid w:val="00621597"/>
    <w:pPr>
      <w:tabs>
        <w:tab w:val="num" w:pos="0"/>
      </w:tabs>
      <w:spacing w:before="240" w:after="60"/>
      <w:outlineLvl w:val="6"/>
    </w:pPr>
    <w:rPr>
      <w:sz w:val="24"/>
    </w:rPr>
  </w:style>
  <w:style w:type="paragraph" w:styleId="Heading8">
    <w:name w:val="heading 8"/>
    <w:basedOn w:val="Normal"/>
    <w:link w:val="Heading8Char"/>
    <w:semiHidden/>
    <w:unhideWhenUsed/>
    <w:rsid w:val="00621597"/>
    <w:pPr>
      <w:tabs>
        <w:tab w:val="num" w:pos="0"/>
      </w:tabs>
      <w:spacing w:after="240"/>
      <w:ind w:left="720" w:hanging="720"/>
      <w:outlineLvl w:val="7"/>
    </w:pPr>
    <w:rPr>
      <w:b/>
    </w:rPr>
  </w:style>
  <w:style w:type="paragraph" w:styleId="Heading9">
    <w:name w:val="heading 9"/>
    <w:basedOn w:val="Normal"/>
    <w:link w:val="Heading9Char"/>
    <w:semiHidden/>
    <w:unhideWhenUsed/>
    <w:rsid w:val="00621597"/>
    <w:pPr>
      <w:tabs>
        <w:tab w:val="num" w:pos="0"/>
      </w:tabs>
      <w:spacing w:before="240" w:after="60"/>
      <w:ind w:left="360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Heading1"/>
    <w:next w:val="BodyTextGrey"/>
    <w:uiPriority w:val="3"/>
    <w:qFormat/>
    <w:rsid w:val="00E25BD5"/>
    <w:pPr>
      <w:pageBreakBefore/>
    </w:pPr>
  </w:style>
  <w:style w:type="character" w:customStyle="1" w:styleId="Heading1Char">
    <w:name w:val="Heading 1 Char"/>
    <w:basedOn w:val="DefaultParagraphFont"/>
    <w:link w:val="Heading1"/>
    <w:rsid w:val="00F7211F"/>
    <w:rPr>
      <w:rFonts w:ascii="Arial" w:hAnsi="Arial"/>
      <w:color w:val="3FA6CC" w:themeColor="text1"/>
      <w:kern w:val="28"/>
      <w:sz w:val="36"/>
      <w:lang w:eastAsia="en-US"/>
    </w:rPr>
  </w:style>
  <w:style w:type="paragraph" w:customStyle="1" w:styleId="Appendix2">
    <w:name w:val="Appendix 2"/>
    <w:basedOn w:val="Heading2"/>
    <w:next w:val="BodyTextGrey"/>
    <w:uiPriority w:val="3"/>
    <w:qFormat/>
    <w:rsid w:val="00E25BD5"/>
    <w:rPr>
      <w:szCs w:val="22"/>
    </w:rPr>
  </w:style>
  <w:style w:type="character" w:customStyle="1" w:styleId="Heading2Char">
    <w:name w:val="Heading 2 Char"/>
    <w:basedOn w:val="DefaultParagraphFont"/>
    <w:link w:val="Heading2"/>
    <w:rsid w:val="00163C1B"/>
    <w:rPr>
      <w:rFonts w:ascii="Arial" w:hAnsi="Arial" w:cs="Arial"/>
      <w:b/>
      <w:iCs/>
      <w:color w:val="6EC040" w:themeColor="accent6"/>
      <w:lang w:eastAsia="en-US"/>
    </w:rPr>
  </w:style>
  <w:style w:type="paragraph" w:customStyle="1" w:styleId="Appendix3">
    <w:name w:val="Appendix 3"/>
    <w:basedOn w:val="Heading3"/>
    <w:next w:val="BodyTextGrey"/>
    <w:uiPriority w:val="3"/>
    <w:qFormat/>
    <w:rsid w:val="00E25BD5"/>
  </w:style>
  <w:style w:type="character" w:customStyle="1" w:styleId="Heading3Char">
    <w:name w:val="Heading 3 Char"/>
    <w:basedOn w:val="DefaultParagraphFont"/>
    <w:link w:val="Heading3"/>
    <w:rsid w:val="007570FF"/>
    <w:rPr>
      <w:rFonts w:ascii="Arial" w:hAnsi="Arial" w:cs="Arial"/>
      <w:b/>
      <w:iCs/>
      <w:color w:val="3FA6CC" w:themeColor="text1"/>
      <w:lang w:eastAsia="en-US"/>
    </w:rPr>
  </w:style>
  <w:style w:type="paragraph" w:customStyle="1" w:styleId="FooterText">
    <w:name w:val="Footer Text"/>
    <w:basedOn w:val="Normal"/>
    <w:uiPriority w:val="4"/>
    <w:rsid w:val="0054545C"/>
    <w:pPr>
      <w:keepLines/>
      <w:pBdr>
        <w:top w:val="single" w:sz="2" w:space="4" w:color="646464"/>
      </w:pBdr>
      <w:ind w:left="-425"/>
      <w:jc w:val="left"/>
    </w:pPr>
    <w:rPr>
      <w:color w:val="4B4B4B"/>
    </w:rPr>
  </w:style>
  <w:style w:type="paragraph" w:customStyle="1" w:styleId="FreedomHeading">
    <w:name w:val="Freedom Heading"/>
    <w:basedOn w:val="Heading1"/>
    <w:next w:val="Normal"/>
    <w:uiPriority w:val="4"/>
    <w:rsid w:val="00621597"/>
    <w:rPr>
      <w:caps/>
      <w:color w:val="40A6CC"/>
    </w:rPr>
  </w:style>
  <w:style w:type="paragraph" w:customStyle="1" w:styleId="hBullet1">
    <w:name w:val="hBullet1"/>
    <w:basedOn w:val="Normal"/>
    <w:uiPriority w:val="3"/>
    <w:rsid w:val="00BB3CF5"/>
    <w:pPr>
      <w:widowControl w:val="0"/>
      <w:numPr>
        <w:numId w:val="3"/>
      </w:numPr>
      <w:spacing w:before="120" w:after="120"/>
      <w:jc w:val="left"/>
    </w:pPr>
    <w:rPr>
      <w:rFonts w:cs="Times New Roman"/>
      <w:iCs w:val="0"/>
      <w:color w:val="auto"/>
      <w:szCs w:val="24"/>
    </w:rPr>
  </w:style>
  <w:style w:type="paragraph" w:customStyle="1" w:styleId="hBullet2">
    <w:name w:val="hBullet2"/>
    <w:basedOn w:val="Normal"/>
    <w:uiPriority w:val="3"/>
    <w:rsid w:val="00BB3CF5"/>
    <w:pPr>
      <w:widowControl w:val="0"/>
      <w:numPr>
        <w:numId w:val="4"/>
      </w:numPr>
      <w:spacing w:before="120" w:after="120"/>
      <w:jc w:val="left"/>
    </w:pPr>
    <w:rPr>
      <w:rFonts w:cs="Times New Roman"/>
      <w:iCs w:val="0"/>
      <w:color w:val="auto"/>
      <w:szCs w:val="24"/>
    </w:rPr>
  </w:style>
  <w:style w:type="paragraph" w:customStyle="1" w:styleId="hBullet3">
    <w:name w:val="hBullet3"/>
    <w:basedOn w:val="Normal"/>
    <w:uiPriority w:val="3"/>
    <w:rsid w:val="00BB3CF5"/>
    <w:pPr>
      <w:widowControl w:val="0"/>
      <w:numPr>
        <w:numId w:val="5"/>
      </w:numPr>
      <w:spacing w:before="120" w:after="120"/>
      <w:jc w:val="left"/>
    </w:pPr>
    <w:rPr>
      <w:rFonts w:cs="Times New Roman"/>
      <w:iCs w:val="0"/>
      <w:color w:val="auto"/>
      <w:szCs w:val="24"/>
    </w:rPr>
  </w:style>
  <w:style w:type="paragraph" w:customStyle="1" w:styleId="hBullets">
    <w:name w:val="hBullets"/>
    <w:uiPriority w:val="3"/>
    <w:rsid w:val="00621597"/>
    <w:pPr>
      <w:numPr>
        <w:numId w:val="6"/>
      </w:numPr>
      <w:spacing w:line="280" w:lineRule="atLeast"/>
    </w:pPr>
    <w:rPr>
      <w:rFonts w:ascii="Arial" w:hAnsi="Arial"/>
      <w:color w:val="4B4B4B"/>
      <w:szCs w:val="24"/>
    </w:rPr>
  </w:style>
  <w:style w:type="paragraph" w:customStyle="1" w:styleId="Heading1Num">
    <w:name w:val="Heading 1 Num"/>
    <w:basedOn w:val="Heading1"/>
    <w:next w:val="BodyTextGrey"/>
    <w:uiPriority w:val="1"/>
    <w:qFormat/>
    <w:rsid w:val="00E25BD5"/>
    <w:pPr>
      <w:numPr>
        <w:numId w:val="9"/>
      </w:numPr>
    </w:pPr>
  </w:style>
  <w:style w:type="paragraph" w:customStyle="1" w:styleId="Heading2Num">
    <w:name w:val="Heading 2 Num"/>
    <w:basedOn w:val="Heading2"/>
    <w:next w:val="BodyTextGrey"/>
    <w:uiPriority w:val="1"/>
    <w:qFormat/>
    <w:rsid w:val="00E25BD5"/>
    <w:pPr>
      <w:numPr>
        <w:ilvl w:val="1"/>
        <w:numId w:val="9"/>
      </w:numPr>
    </w:pPr>
  </w:style>
  <w:style w:type="paragraph" w:customStyle="1" w:styleId="Heading3Num">
    <w:name w:val="Heading 3 Num"/>
    <w:basedOn w:val="Heading3"/>
    <w:next w:val="BodyTextGrey"/>
    <w:link w:val="Heading3NumChar"/>
    <w:uiPriority w:val="1"/>
    <w:qFormat/>
    <w:rsid w:val="00E25BD5"/>
    <w:pPr>
      <w:numPr>
        <w:ilvl w:val="2"/>
        <w:numId w:val="9"/>
      </w:numPr>
    </w:pPr>
  </w:style>
  <w:style w:type="paragraph" w:customStyle="1" w:styleId="hNumber1">
    <w:name w:val="hNumber1"/>
    <w:uiPriority w:val="3"/>
    <w:rsid w:val="00621597"/>
    <w:pPr>
      <w:widowControl w:val="0"/>
      <w:numPr>
        <w:numId w:val="7"/>
      </w:numPr>
      <w:spacing w:line="280" w:lineRule="atLeast"/>
    </w:pPr>
    <w:rPr>
      <w:rFonts w:ascii="Arial" w:hAnsi="Arial"/>
      <w:color w:val="4B4B4B"/>
      <w:szCs w:val="24"/>
    </w:rPr>
  </w:style>
  <w:style w:type="paragraph" w:customStyle="1" w:styleId="HRTest18">
    <w:name w:val="HRTest18"/>
    <w:basedOn w:val="Normal"/>
    <w:uiPriority w:val="3"/>
    <w:rsid w:val="00621597"/>
    <w:pPr>
      <w:spacing w:after="20"/>
      <w:ind w:left="200"/>
    </w:pPr>
    <w:rPr>
      <w:caps/>
      <w:color w:val="FF9900"/>
    </w:rPr>
  </w:style>
  <w:style w:type="paragraph" w:customStyle="1" w:styleId="HymanHeader">
    <w:name w:val="HymanHeader"/>
    <w:basedOn w:val="Normal"/>
    <w:uiPriority w:val="3"/>
    <w:rsid w:val="00BB3CF5"/>
    <w:pPr>
      <w:pBdr>
        <w:top w:val="single" w:sz="2" w:space="4" w:color="646464"/>
      </w:pBdr>
      <w:spacing w:after="200"/>
      <w:ind w:left="-425"/>
      <w:jc w:val="left"/>
    </w:pPr>
    <w:rPr>
      <w:color w:val="4B4B4B"/>
      <w:lang w:val="fr-FR"/>
    </w:rPr>
  </w:style>
  <w:style w:type="paragraph" w:customStyle="1" w:styleId="LetterDate">
    <w:name w:val="Letter Date"/>
    <w:basedOn w:val="Normal"/>
    <w:uiPriority w:val="3"/>
    <w:rsid w:val="00BB3CF5"/>
    <w:pPr>
      <w:spacing w:before="480" w:after="480"/>
      <w:jc w:val="left"/>
    </w:pPr>
    <w:rPr>
      <w:rFonts w:cs="Times New Roman"/>
      <w:color w:val="646464"/>
      <w:szCs w:val="28"/>
    </w:rPr>
  </w:style>
  <w:style w:type="paragraph" w:customStyle="1" w:styleId="ListBullet-Hymans">
    <w:name w:val="List Bullet - Hymans"/>
    <w:basedOn w:val="Normal"/>
    <w:uiPriority w:val="3"/>
    <w:rsid w:val="00621597"/>
    <w:pPr>
      <w:tabs>
        <w:tab w:val="num" w:pos="360"/>
      </w:tabs>
      <w:ind w:left="360" w:hanging="360"/>
    </w:pPr>
  </w:style>
  <w:style w:type="paragraph" w:customStyle="1" w:styleId="NormalLeft">
    <w:name w:val="Normal Left"/>
    <w:basedOn w:val="Normal"/>
    <w:uiPriority w:val="3"/>
    <w:rsid w:val="00621597"/>
    <w:pPr>
      <w:ind w:left="-400"/>
    </w:pPr>
    <w:rPr>
      <w:rFonts w:cs="Times New Roman"/>
    </w:rPr>
  </w:style>
  <w:style w:type="paragraph" w:customStyle="1" w:styleId="Signatory">
    <w:name w:val="Signatory"/>
    <w:basedOn w:val="Normal"/>
    <w:uiPriority w:val="3"/>
    <w:rsid w:val="00BB3CF5"/>
    <w:pPr>
      <w:spacing w:after="200"/>
      <w:jc w:val="left"/>
    </w:pPr>
    <w:rPr>
      <w:color w:val="auto"/>
      <w:sz w:val="16"/>
    </w:rPr>
  </w:style>
  <w:style w:type="paragraph" w:customStyle="1" w:styleId="StyleLeft45cm">
    <w:name w:val="Style Left:  4.5 cm"/>
    <w:basedOn w:val="Normal"/>
    <w:uiPriority w:val="3"/>
    <w:rsid w:val="00621597"/>
    <w:pPr>
      <w:ind w:left="2552"/>
    </w:pPr>
    <w:rPr>
      <w:rFonts w:cs="Times New Roman"/>
    </w:rPr>
  </w:style>
  <w:style w:type="paragraph" w:customStyle="1" w:styleId="StyleTenderVerticalSmallLeftBefore1ptAfter1pt">
    <w:name w:val="Style Tender Vertical Small + Left Before:  1 pt After:  1 pt"/>
    <w:basedOn w:val="TenderVerticalSmall"/>
    <w:uiPriority w:val="3"/>
    <w:rsid w:val="00621597"/>
    <w:pPr>
      <w:spacing w:after="20"/>
      <w:jc w:val="left"/>
    </w:pPr>
    <w:rPr>
      <w:rFonts w:cs="Times New Roman"/>
      <w:iCs w:val="0"/>
      <w:szCs w:val="20"/>
    </w:rPr>
  </w:style>
  <w:style w:type="paragraph" w:customStyle="1" w:styleId="TableColumn1">
    <w:name w:val="Table Column1"/>
    <w:basedOn w:val="TableHeader"/>
    <w:autoRedefine/>
    <w:uiPriority w:val="3"/>
    <w:rsid w:val="00621597"/>
  </w:style>
  <w:style w:type="paragraph" w:customStyle="1" w:styleId="TableHeader">
    <w:name w:val="Table Header"/>
    <w:basedOn w:val="TableText"/>
    <w:uiPriority w:val="3"/>
    <w:rsid w:val="00621597"/>
    <w:pPr>
      <w:spacing w:after="20"/>
    </w:pPr>
    <w:rPr>
      <w:color w:val="FFFFFF"/>
    </w:rPr>
  </w:style>
  <w:style w:type="paragraph" w:customStyle="1" w:styleId="TableText">
    <w:name w:val="Table Text"/>
    <w:basedOn w:val="Normal"/>
    <w:uiPriority w:val="3"/>
    <w:rsid w:val="00BB3CF5"/>
    <w:pPr>
      <w:spacing w:after="200"/>
      <w:jc w:val="left"/>
    </w:pPr>
    <w:rPr>
      <w:color w:val="auto"/>
    </w:rPr>
  </w:style>
  <w:style w:type="paragraph" w:customStyle="1" w:styleId="TableHeaderText-Hymans">
    <w:name w:val="TableHeaderText - Hymans"/>
    <w:basedOn w:val="Normal"/>
    <w:uiPriority w:val="3"/>
    <w:rsid w:val="00621597"/>
    <w:rPr>
      <w:rFonts w:ascii="Times New Roman" w:hAnsi="Times New Roman" w:cs="Times New Roman"/>
      <w:sz w:val="24"/>
      <w:szCs w:val="24"/>
    </w:rPr>
  </w:style>
  <w:style w:type="paragraph" w:customStyle="1" w:styleId="TableSpacer">
    <w:name w:val="TableSpacer"/>
    <w:basedOn w:val="Normal"/>
    <w:next w:val="Heading2"/>
    <w:uiPriority w:val="3"/>
    <w:rsid w:val="00621597"/>
    <w:pPr>
      <w:spacing w:before="240"/>
    </w:pPr>
    <w:rPr>
      <w:color w:val="FFFFFF"/>
      <w:sz w:val="24"/>
    </w:rPr>
  </w:style>
  <w:style w:type="paragraph" w:customStyle="1" w:styleId="TableText-Hymans">
    <w:name w:val="TableText - Hymans"/>
    <w:basedOn w:val="Normal"/>
    <w:uiPriority w:val="3"/>
    <w:rsid w:val="00621597"/>
    <w:rPr>
      <w:rFonts w:ascii="Times New Roman" w:hAnsi="Times New Roman" w:cs="Times New Roman"/>
      <w:sz w:val="24"/>
      <w:szCs w:val="24"/>
    </w:rPr>
  </w:style>
  <w:style w:type="paragraph" w:customStyle="1" w:styleId="TenderAppendix">
    <w:name w:val="Tender Appendix"/>
    <w:next w:val="Normal"/>
    <w:uiPriority w:val="3"/>
    <w:rsid w:val="00621597"/>
    <w:pPr>
      <w:keepNext/>
      <w:keepLines/>
      <w:spacing w:after="0"/>
    </w:pPr>
    <w:rPr>
      <w:rFonts w:ascii="Arial" w:hAnsi="Arial"/>
      <w:caps/>
      <w:color w:val="40A6CC"/>
      <w:sz w:val="36"/>
    </w:rPr>
  </w:style>
  <w:style w:type="paragraph" w:customStyle="1" w:styleId="TenderBluetext">
    <w:name w:val="Tender Blue text"/>
    <w:basedOn w:val="Normal"/>
    <w:uiPriority w:val="3"/>
    <w:rsid w:val="00621597"/>
    <w:pPr>
      <w:tabs>
        <w:tab w:val="left" w:pos="567"/>
      </w:tabs>
      <w:spacing w:before="120"/>
      <w:jc w:val="left"/>
    </w:pPr>
    <w:rPr>
      <w:rFonts w:cs="Times New Roman"/>
      <w:iCs w:val="0"/>
      <w:caps/>
      <w:color w:val="3FA6CC"/>
    </w:rPr>
  </w:style>
  <w:style w:type="paragraph" w:customStyle="1" w:styleId="TenderBullet">
    <w:name w:val="Tender Bullet"/>
    <w:basedOn w:val="Normal"/>
    <w:uiPriority w:val="3"/>
    <w:rsid w:val="00621597"/>
    <w:pPr>
      <w:tabs>
        <w:tab w:val="num" w:pos="360"/>
      </w:tabs>
      <w:spacing w:after="240"/>
      <w:ind w:left="360" w:right="-3" w:hanging="360"/>
    </w:pPr>
    <w:rPr>
      <w:b/>
    </w:rPr>
  </w:style>
  <w:style w:type="paragraph" w:customStyle="1" w:styleId="TenderH1">
    <w:name w:val="Tender H1"/>
    <w:next w:val="Normal"/>
    <w:uiPriority w:val="3"/>
    <w:rsid w:val="00621597"/>
    <w:pPr>
      <w:keepNext/>
      <w:keepLines/>
      <w:tabs>
        <w:tab w:val="num" w:pos="0"/>
      </w:tabs>
      <w:spacing w:after="360"/>
      <w:ind w:hanging="403"/>
    </w:pPr>
    <w:rPr>
      <w:rFonts w:ascii="Arial" w:hAnsi="Arial"/>
      <w:caps/>
      <w:color w:val="40A6CC"/>
      <w:sz w:val="36"/>
    </w:rPr>
  </w:style>
  <w:style w:type="paragraph" w:customStyle="1" w:styleId="TenderH2">
    <w:name w:val="Tender H2"/>
    <w:basedOn w:val="Normal"/>
    <w:next w:val="Normal"/>
    <w:uiPriority w:val="3"/>
    <w:rsid w:val="00621597"/>
    <w:pPr>
      <w:keepNext/>
      <w:keepLines/>
      <w:tabs>
        <w:tab w:val="num" w:pos="0"/>
      </w:tabs>
    </w:pPr>
    <w:rPr>
      <w:caps/>
      <w:color w:val="F06A00"/>
    </w:rPr>
  </w:style>
  <w:style w:type="paragraph" w:customStyle="1" w:styleId="TenderIntro">
    <w:name w:val="Tender Intro"/>
    <w:uiPriority w:val="3"/>
    <w:rsid w:val="00621597"/>
    <w:pPr>
      <w:spacing w:after="360"/>
      <w:ind w:left="-403"/>
    </w:pPr>
    <w:rPr>
      <w:rFonts w:ascii="Arial" w:hAnsi="Arial"/>
      <w:caps/>
      <w:color w:val="40A6CC"/>
      <w:sz w:val="36"/>
    </w:rPr>
  </w:style>
  <w:style w:type="paragraph" w:customStyle="1" w:styleId="TenderQuestion">
    <w:name w:val="Tender Question"/>
    <w:next w:val="BodyTextGrey"/>
    <w:rsid w:val="00E25BD5"/>
    <w:pPr>
      <w:numPr>
        <w:numId w:val="8"/>
      </w:numPr>
      <w:tabs>
        <w:tab w:val="left" w:pos="567"/>
      </w:tabs>
    </w:pPr>
    <w:rPr>
      <w:rFonts w:ascii="Arial" w:hAnsi="Arial" w:cs="Arial"/>
      <w:iCs/>
      <w:color w:val="3FA6CC"/>
      <w:lang w:eastAsia="en-US"/>
    </w:rPr>
  </w:style>
  <w:style w:type="paragraph" w:customStyle="1" w:styleId="TenderTableHeader">
    <w:name w:val="Tender Table Header"/>
    <w:basedOn w:val="Normal"/>
    <w:uiPriority w:val="3"/>
    <w:rsid w:val="00621597"/>
    <w:rPr>
      <w:color w:val="FFFFFF"/>
    </w:rPr>
  </w:style>
  <w:style w:type="paragraph" w:customStyle="1" w:styleId="TenderVerticalBigBlue">
    <w:name w:val="Tender Vertical Big Blue"/>
    <w:uiPriority w:val="3"/>
    <w:rsid w:val="00621597"/>
    <w:pPr>
      <w:tabs>
        <w:tab w:val="right" w:pos="9180"/>
      </w:tabs>
      <w:spacing w:after="0" w:line="280" w:lineRule="atLeast"/>
    </w:pPr>
    <w:rPr>
      <w:rFonts w:ascii="Arial" w:hAnsi="Arial" w:cs="Arial"/>
      <w:iCs/>
      <w:caps/>
      <w:color w:val="40A6CC"/>
      <w:sz w:val="112"/>
      <w:szCs w:val="112"/>
    </w:rPr>
  </w:style>
  <w:style w:type="paragraph" w:customStyle="1" w:styleId="TenderVerticalSmall">
    <w:name w:val="Tender Vertical Small"/>
    <w:basedOn w:val="Normal"/>
    <w:uiPriority w:val="3"/>
    <w:rsid w:val="00621597"/>
    <w:pPr>
      <w:tabs>
        <w:tab w:val="right" w:pos="9180"/>
      </w:tabs>
    </w:pPr>
    <w:rPr>
      <w:caps/>
      <w:color w:val="646464"/>
      <w:sz w:val="36"/>
      <w:szCs w:val="36"/>
    </w:rPr>
  </w:style>
  <w:style w:type="paragraph" w:customStyle="1" w:styleId="TitleLogo">
    <w:name w:val="Title Logo"/>
    <w:basedOn w:val="Normal"/>
    <w:uiPriority w:val="3"/>
    <w:rsid w:val="00621597"/>
    <w:pPr>
      <w:spacing w:before="1200" w:after="1560"/>
    </w:pPr>
    <w:rPr>
      <w:b/>
      <w:sz w:val="56"/>
    </w:rPr>
  </w:style>
  <w:style w:type="paragraph" w:customStyle="1" w:styleId="Action">
    <w:name w:val="Action"/>
    <w:basedOn w:val="Normal"/>
    <w:link w:val="ActionChar"/>
    <w:uiPriority w:val="3"/>
    <w:rsid w:val="00BB3CF5"/>
    <w:pPr>
      <w:spacing w:after="200"/>
      <w:jc w:val="left"/>
    </w:pPr>
    <w:rPr>
      <w:color w:val="3FA6CC"/>
    </w:rPr>
  </w:style>
  <w:style w:type="character" w:customStyle="1" w:styleId="ActionChar">
    <w:name w:val="Action Char"/>
    <w:basedOn w:val="DefaultParagraphFont"/>
    <w:link w:val="Action"/>
    <w:uiPriority w:val="3"/>
    <w:rsid w:val="007570FF"/>
    <w:rPr>
      <w:rFonts w:ascii="Arial" w:eastAsia="Times New Roman" w:hAnsi="Arial" w:cs="Arial"/>
      <w:iCs/>
      <w:color w:val="3FA6CC"/>
      <w:sz w:val="20"/>
      <w:szCs w:val="20"/>
    </w:rPr>
  </w:style>
  <w:style w:type="paragraph" w:styleId="Header">
    <w:name w:val="header"/>
    <w:next w:val="Normal"/>
    <w:link w:val="HeaderChar"/>
    <w:rsid w:val="00621597"/>
    <w:pPr>
      <w:tabs>
        <w:tab w:val="right" w:pos="9923"/>
      </w:tabs>
      <w:spacing w:after="80"/>
      <w:ind w:left="-425"/>
    </w:pPr>
    <w:rPr>
      <w:rFonts w:ascii="Arial" w:hAnsi="Arial" w:cs="Arial"/>
      <w:iCs/>
      <w:caps/>
      <w:color w:val="3FA6CC"/>
      <w:szCs w:val="28"/>
    </w:rPr>
  </w:style>
  <w:style w:type="character" w:customStyle="1" w:styleId="HeaderChar">
    <w:name w:val="Header Char"/>
    <w:basedOn w:val="DefaultParagraphFont"/>
    <w:link w:val="Header"/>
    <w:uiPriority w:val="99"/>
    <w:rsid w:val="00621597"/>
    <w:rPr>
      <w:rFonts w:ascii="Arial" w:eastAsia="Times New Roman" w:hAnsi="Arial" w:cs="Arial"/>
      <w:iCs/>
      <w:caps/>
      <w:color w:val="3FA6CC"/>
      <w:sz w:val="20"/>
      <w:szCs w:val="28"/>
    </w:rPr>
  </w:style>
  <w:style w:type="paragraph" w:styleId="Footer">
    <w:name w:val="footer"/>
    <w:basedOn w:val="Normal"/>
    <w:link w:val="FooterChar"/>
    <w:uiPriority w:val="3"/>
    <w:rsid w:val="00621597"/>
    <w:pPr>
      <w:tabs>
        <w:tab w:val="center" w:pos="4153"/>
        <w:tab w:val="right" w:pos="8306"/>
      </w:tabs>
    </w:pPr>
  </w:style>
  <w:style w:type="character" w:customStyle="1" w:styleId="FooterChar">
    <w:name w:val="Footer Char"/>
    <w:basedOn w:val="DefaultParagraphFont"/>
    <w:link w:val="Footer"/>
    <w:uiPriority w:val="3"/>
    <w:rsid w:val="007570FF"/>
    <w:rPr>
      <w:rFonts w:ascii="Arial" w:eastAsia="Times New Roman" w:hAnsi="Arial" w:cs="Arial"/>
      <w:iCs/>
      <w:color w:val="3FA6CC" w:themeColor="text1"/>
      <w:sz w:val="20"/>
      <w:szCs w:val="20"/>
    </w:rPr>
  </w:style>
  <w:style w:type="table" w:styleId="TableGrid">
    <w:name w:val="Table Grid"/>
    <w:basedOn w:val="TableNormal"/>
    <w:rsid w:val="00621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aliases w:val="serena"/>
    <w:basedOn w:val="TableNormal"/>
    <w:uiPriority w:val="60"/>
    <w:rsid w:val="00621597"/>
    <w:pPr>
      <w:spacing w:after="0"/>
    </w:pPr>
    <w:rPr>
      <w:color w:val="B34E00" w:themeColor="accent1" w:themeShade="BF"/>
    </w:rPr>
    <w:tblPr>
      <w:tblStyleRowBandSize w:val="1"/>
      <w:tblStyleColBandSize w:val="1"/>
      <w:tblBorders>
        <w:top w:val="single" w:sz="8" w:space="0" w:color="F06A00" w:themeColor="accent1"/>
        <w:bottom w:val="single" w:sz="8" w:space="0" w:color="F06A00" w:themeColor="accent1"/>
      </w:tblBorders>
    </w:tblPr>
    <w:tcPr>
      <w:shd w:val="clear" w:color="auto" w:fill="auto"/>
    </w:tcPr>
    <w:tblStylePr w:type="firstRow">
      <w:pPr>
        <w:spacing w:before="0" w:after="0" w:line="240" w:lineRule="auto"/>
      </w:pPr>
      <w:rPr>
        <w:b/>
        <w:bCs/>
        <w:color w:val="auto"/>
      </w:rPr>
      <w:tblPr/>
      <w:tcPr>
        <w:shd w:val="clear" w:color="auto" w:fill="36601F" w:themeFill="text2" w:themeFillShade="80"/>
      </w:tcPr>
    </w:tblStylePr>
    <w:tblStylePr w:type="la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C" w:themeFill="accent1" w:themeFillTint="3F"/>
      </w:tcPr>
    </w:tblStylePr>
    <w:tblStylePr w:type="band1Horz">
      <w:tblPr/>
      <w:tcPr>
        <w:tcBorders>
          <w:left w:val="nil"/>
          <w:right w:val="nil"/>
          <w:insideH w:val="nil"/>
          <w:insideV w:val="nil"/>
        </w:tcBorders>
        <w:shd w:val="clear" w:color="auto" w:fill="FFD9BC" w:themeFill="accent1" w:themeFillTint="3F"/>
      </w:tcPr>
    </w:tblStylePr>
  </w:style>
  <w:style w:type="table" w:styleId="LightShading-Accent5">
    <w:name w:val="Light Shading Accent 5"/>
    <w:basedOn w:val="TableNormal"/>
    <w:uiPriority w:val="60"/>
    <w:rsid w:val="00621597"/>
    <w:pPr>
      <w:spacing w:after="0"/>
    </w:pPr>
    <w:rPr>
      <w:color w:val="4A4A4A" w:themeColor="accent5" w:themeShade="BF"/>
    </w:rPr>
    <w:tblPr>
      <w:tblStyleRowBandSize w:val="1"/>
      <w:tblStyleColBandSize w:val="1"/>
      <w:tblBorders>
        <w:top w:val="single" w:sz="8" w:space="0" w:color="646464" w:themeColor="accent5"/>
        <w:bottom w:val="single" w:sz="8" w:space="0" w:color="646464" w:themeColor="accent5"/>
      </w:tblBorders>
    </w:tblPr>
    <w:tblStylePr w:type="firstRow">
      <w:pPr>
        <w:spacing w:before="0" w:after="0" w:line="240" w:lineRule="auto"/>
      </w:pPr>
      <w:rPr>
        <w:b/>
        <w:bCs/>
      </w:rPr>
      <w:tblPr/>
      <w:tcPr>
        <w:tcBorders>
          <w:top w:val="single" w:sz="8" w:space="0" w:color="646464" w:themeColor="accent5"/>
          <w:left w:val="nil"/>
          <w:bottom w:val="single" w:sz="8" w:space="0" w:color="646464" w:themeColor="accent5"/>
          <w:right w:val="nil"/>
          <w:insideH w:val="nil"/>
          <w:insideV w:val="nil"/>
        </w:tcBorders>
      </w:tcPr>
    </w:tblStylePr>
    <w:tblStylePr w:type="lastRow">
      <w:pPr>
        <w:spacing w:before="0" w:after="0" w:line="240" w:lineRule="auto"/>
      </w:pPr>
      <w:rPr>
        <w:b/>
        <w:bCs/>
      </w:rPr>
      <w:tblPr/>
      <w:tcPr>
        <w:tcBorders>
          <w:top w:val="single" w:sz="8" w:space="0" w:color="646464" w:themeColor="accent5"/>
          <w:left w:val="nil"/>
          <w:bottom w:val="single" w:sz="8" w:space="0" w:color="6464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8" w:themeFill="accent5" w:themeFillTint="3F"/>
      </w:tcPr>
    </w:tblStylePr>
    <w:tblStylePr w:type="band1Horz">
      <w:tblPr/>
      <w:tcPr>
        <w:tcBorders>
          <w:left w:val="nil"/>
          <w:right w:val="nil"/>
          <w:insideH w:val="nil"/>
          <w:insideV w:val="nil"/>
        </w:tcBorders>
        <w:shd w:val="clear" w:color="auto" w:fill="D8D8D8" w:themeFill="accent5" w:themeFillTint="3F"/>
      </w:tcPr>
    </w:tblStylePr>
  </w:style>
  <w:style w:type="paragraph" w:customStyle="1" w:styleId="BodyTextNum">
    <w:name w:val="Body Text Num"/>
    <w:basedOn w:val="Normal"/>
    <w:uiPriority w:val="3"/>
    <w:rsid w:val="00BB3CF5"/>
    <w:pPr>
      <w:spacing w:after="200"/>
      <w:jc w:val="left"/>
    </w:pPr>
    <w:rPr>
      <w:color w:val="auto"/>
    </w:rPr>
  </w:style>
  <w:style w:type="paragraph" w:customStyle="1" w:styleId="ByLine">
    <w:name w:val="ByLine"/>
    <w:basedOn w:val="Normal"/>
    <w:uiPriority w:val="3"/>
    <w:rsid w:val="00621597"/>
    <w:pPr>
      <w:framePr w:w="7042" w:h="2448" w:hRule="exact" w:hSpace="187" w:wrap="around" w:hAnchor="page" w:x="3889" w:y="8641" w:anchorLock="1"/>
      <w:spacing w:before="240" w:line="240" w:lineRule="auto"/>
      <w:ind w:left="864"/>
      <w:jc w:val="left"/>
    </w:pPr>
    <w:rPr>
      <w:b/>
      <w:iCs w:val="0"/>
      <w:color w:val="auto"/>
    </w:rPr>
  </w:style>
  <w:style w:type="paragraph" w:styleId="Caption">
    <w:name w:val="caption"/>
    <w:basedOn w:val="Normal"/>
    <w:next w:val="Normal"/>
    <w:uiPriority w:val="4"/>
    <w:rsid w:val="00621597"/>
    <w:pPr>
      <w:spacing w:before="120" w:after="120"/>
    </w:pPr>
    <w:rPr>
      <w:bCs/>
    </w:rPr>
  </w:style>
  <w:style w:type="character" w:styleId="FootnoteReference">
    <w:name w:val="footnote reference"/>
    <w:basedOn w:val="DefaultParagraphFont"/>
    <w:semiHidden/>
    <w:rsid w:val="00621597"/>
    <w:rPr>
      <w:vertAlign w:val="superscript"/>
    </w:rPr>
  </w:style>
  <w:style w:type="paragraph" w:styleId="FootnoteText">
    <w:name w:val="footnote text"/>
    <w:basedOn w:val="Normal"/>
    <w:link w:val="FootnoteTextChar"/>
    <w:semiHidden/>
    <w:rsid w:val="00621597"/>
    <w:pPr>
      <w:spacing w:line="240" w:lineRule="auto"/>
      <w:jc w:val="left"/>
    </w:pPr>
    <w:rPr>
      <w:b/>
      <w:iCs w:val="0"/>
      <w:color w:val="auto"/>
    </w:rPr>
  </w:style>
  <w:style w:type="character" w:customStyle="1" w:styleId="FootnoteTextChar">
    <w:name w:val="Footnote Text Char"/>
    <w:basedOn w:val="DefaultParagraphFont"/>
    <w:link w:val="FootnoteText"/>
    <w:semiHidden/>
    <w:rsid w:val="003D08BD"/>
    <w:rPr>
      <w:rFonts w:ascii="Arial" w:eastAsia="Times New Roman" w:hAnsi="Arial" w:cs="Arial"/>
      <w:b/>
      <w:sz w:val="20"/>
      <w:szCs w:val="20"/>
    </w:rPr>
  </w:style>
  <w:style w:type="character" w:customStyle="1" w:styleId="Heading4Char">
    <w:name w:val="Heading 4 Char"/>
    <w:basedOn w:val="DefaultParagraphFont"/>
    <w:link w:val="Heading4"/>
    <w:rsid w:val="000266BC"/>
    <w:rPr>
      <w:rFonts w:ascii="Arial" w:hAnsi="Arial" w:cs="Arial"/>
      <w:b/>
      <w:iCs/>
      <w:color w:val="455560"/>
      <w:lang w:eastAsia="en-US"/>
    </w:rPr>
  </w:style>
  <w:style w:type="character" w:customStyle="1" w:styleId="Heading5Char">
    <w:name w:val="Heading 5 Char"/>
    <w:aliases w:val="Briefing note heading Char"/>
    <w:basedOn w:val="DefaultParagraphFont"/>
    <w:link w:val="Heading5"/>
    <w:uiPriority w:val="4"/>
    <w:rsid w:val="007570FF"/>
    <w:rPr>
      <w:rFonts w:ascii="Arial" w:eastAsia="Times New Roman" w:hAnsi="Arial" w:cs="Tahoma"/>
      <w:color w:val="40A6CC"/>
      <w:spacing w:val="20"/>
      <w:sz w:val="20"/>
      <w:szCs w:val="146"/>
      <w:lang w:eastAsia="en-GB"/>
    </w:rPr>
  </w:style>
  <w:style w:type="character" w:customStyle="1" w:styleId="Heading6Char">
    <w:name w:val="Heading 6 Char"/>
    <w:basedOn w:val="DefaultParagraphFont"/>
    <w:link w:val="Heading6"/>
    <w:uiPriority w:val="4"/>
    <w:rsid w:val="007570FF"/>
    <w:rPr>
      <w:rFonts w:ascii="Arial" w:eastAsia="Times New Roman" w:hAnsi="Arial" w:cs="Arial"/>
      <w:i/>
      <w:iCs/>
      <w:color w:val="3FA6CC" w:themeColor="text1"/>
      <w:sz w:val="20"/>
      <w:szCs w:val="20"/>
    </w:rPr>
  </w:style>
  <w:style w:type="character" w:customStyle="1" w:styleId="Heading7Char">
    <w:name w:val="Heading 7 Char"/>
    <w:basedOn w:val="DefaultParagraphFont"/>
    <w:link w:val="Heading7"/>
    <w:uiPriority w:val="4"/>
    <w:semiHidden/>
    <w:rsid w:val="007570FF"/>
    <w:rPr>
      <w:rFonts w:ascii="Arial" w:eastAsia="Times New Roman" w:hAnsi="Arial" w:cs="Arial"/>
      <w:iCs/>
      <w:color w:val="3FA6CC" w:themeColor="text1"/>
      <w:sz w:val="24"/>
      <w:szCs w:val="20"/>
    </w:rPr>
  </w:style>
  <w:style w:type="character" w:customStyle="1" w:styleId="Heading8Char">
    <w:name w:val="Heading 8 Char"/>
    <w:basedOn w:val="DefaultParagraphFont"/>
    <w:link w:val="Heading8"/>
    <w:semiHidden/>
    <w:rsid w:val="003D08BD"/>
    <w:rPr>
      <w:rFonts w:ascii="Arial" w:eastAsia="Times New Roman" w:hAnsi="Arial" w:cs="Arial"/>
      <w:b/>
      <w:iCs/>
      <w:color w:val="3FA6CC" w:themeColor="text1"/>
      <w:sz w:val="20"/>
      <w:szCs w:val="20"/>
    </w:rPr>
  </w:style>
  <w:style w:type="character" w:customStyle="1" w:styleId="Heading9Char">
    <w:name w:val="Heading 9 Char"/>
    <w:basedOn w:val="DefaultParagraphFont"/>
    <w:link w:val="Heading9"/>
    <w:semiHidden/>
    <w:rsid w:val="003D08BD"/>
    <w:rPr>
      <w:rFonts w:ascii="Arial" w:eastAsia="Times New Roman" w:hAnsi="Arial" w:cs="Arial"/>
      <w:b/>
      <w:iCs/>
      <w:color w:val="3FA6CC" w:themeColor="text1"/>
      <w:sz w:val="20"/>
      <w:szCs w:val="20"/>
    </w:rPr>
  </w:style>
  <w:style w:type="character" w:styleId="Hyperlink">
    <w:name w:val="Hyperlink"/>
    <w:basedOn w:val="DefaultParagraphFont"/>
    <w:uiPriority w:val="99"/>
    <w:rsid w:val="00621597"/>
    <w:rPr>
      <w:color w:val="0000FF"/>
      <w:u w:val="single"/>
    </w:rPr>
  </w:style>
  <w:style w:type="paragraph" w:customStyle="1" w:styleId="OrangeTitle">
    <w:name w:val="OrangeTitle"/>
    <w:basedOn w:val="Normal"/>
    <w:uiPriority w:val="3"/>
    <w:rsid w:val="00621597"/>
    <w:pPr>
      <w:spacing w:after="60"/>
      <w:jc w:val="left"/>
    </w:pPr>
    <w:rPr>
      <w:caps/>
      <w:color w:val="F06A00"/>
    </w:rPr>
  </w:style>
  <w:style w:type="character" w:styleId="PageNumber">
    <w:name w:val="page number"/>
    <w:basedOn w:val="DefaultParagraphFont"/>
    <w:uiPriority w:val="3"/>
    <w:rsid w:val="00621597"/>
  </w:style>
  <w:style w:type="paragraph" w:customStyle="1" w:styleId="ReportDate">
    <w:name w:val="ReportDate"/>
    <w:basedOn w:val="Normal"/>
    <w:next w:val="Normal"/>
    <w:uiPriority w:val="3"/>
    <w:rsid w:val="00621597"/>
    <w:pPr>
      <w:framePr w:w="2030" w:hSpace="187" w:wrap="auto" w:vAnchor="page" w:hAnchor="page" w:x="8699" w:y="13249" w:anchorLock="1"/>
      <w:spacing w:line="240" w:lineRule="auto"/>
      <w:jc w:val="right"/>
    </w:pPr>
    <w:rPr>
      <w:b/>
      <w:iCs w:val="0"/>
      <w:noProof/>
      <w:color w:val="auto"/>
      <w:sz w:val="18"/>
    </w:rPr>
  </w:style>
  <w:style w:type="paragraph" w:styleId="TableofFigures">
    <w:name w:val="table of figures"/>
    <w:basedOn w:val="Normal"/>
    <w:next w:val="Normal"/>
    <w:semiHidden/>
    <w:rsid w:val="00621597"/>
  </w:style>
  <w:style w:type="paragraph" w:styleId="TOC1">
    <w:name w:val="toc 1"/>
    <w:next w:val="Normal"/>
    <w:uiPriority w:val="3"/>
    <w:rsid w:val="00621597"/>
    <w:pPr>
      <w:tabs>
        <w:tab w:val="left" w:pos="454"/>
        <w:tab w:val="left" w:pos="6124"/>
      </w:tabs>
    </w:pPr>
    <w:rPr>
      <w:rFonts w:ascii="Arial" w:hAnsi="Arial" w:cs="Arial"/>
      <w:iCs/>
      <w:color w:val="4B4B4B"/>
    </w:rPr>
  </w:style>
  <w:style w:type="paragraph" w:styleId="TOC2">
    <w:name w:val="toc 2"/>
    <w:basedOn w:val="Normal"/>
    <w:next w:val="Normal"/>
    <w:uiPriority w:val="3"/>
    <w:rsid w:val="00621597"/>
    <w:pPr>
      <w:tabs>
        <w:tab w:val="right" w:pos="8648"/>
      </w:tabs>
      <w:spacing w:before="240"/>
    </w:pPr>
    <w:rPr>
      <w:rFonts w:ascii="Times New Roman" w:hAnsi="Times New Roman"/>
    </w:rPr>
  </w:style>
  <w:style w:type="paragraph" w:styleId="TOC3">
    <w:name w:val="toc 3"/>
    <w:basedOn w:val="Normal"/>
    <w:next w:val="Normal"/>
    <w:uiPriority w:val="3"/>
    <w:rsid w:val="00621597"/>
    <w:pPr>
      <w:tabs>
        <w:tab w:val="right" w:pos="8648"/>
      </w:tabs>
      <w:ind w:left="200"/>
    </w:pPr>
    <w:rPr>
      <w:rFonts w:ascii="Times New Roman" w:hAnsi="Times New Roman"/>
      <w:b/>
    </w:rPr>
  </w:style>
  <w:style w:type="paragraph" w:styleId="TOC4">
    <w:name w:val="toc 4"/>
    <w:basedOn w:val="Normal"/>
    <w:next w:val="Normal"/>
    <w:uiPriority w:val="3"/>
    <w:rsid w:val="00621597"/>
    <w:pPr>
      <w:tabs>
        <w:tab w:val="right" w:pos="8648"/>
      </w:tabs>
      <w:ind w:left="400"/>
    </w:pPr>
    <w:rPr>
      <w:rFonts w:ascii="Times New Roman" w:hAnsi="Times New Roman"/>
      <w:b/>
    </w:rPr>
  </w:style>
  <w:style w:type="paragraph" w:styleId="TOC5">
    <w:name w:val="toc 5"/>
    <w:basedOn w:val="Normal"/>
    <w:next w:val="Normal"/>
    <w:semiHidden/>
    <w:rsid w:val="00621597"/>
    <w:pPr>
      <w:tabs>
        <w:tab w:val="right" w:pos="8648"/>
      </w:tabs>
      <w:ind w:left="600"/>
    </w:pPr>
    <w:rPr>
      <w:rFonts w:ascii="Times New Roman" w:hAnsi="Times New Roman"/>
      <w:b/>
    </w:rPr>
  </w:style>
  <w:style w:type="paragraph" w:styleId="TOC6">
    <w:name w:val="toc 6"/>
    <w:basedOn w:val="Normal"/>
    <w:next w:val="Normal"/>
    <w:semiHidden/>
    <w:rsid w:val="00621597"/>
    <w:pPr>
      <w:tabs>
        <w:tab w:val="right" w:pos="8648"/>
      </w:tabs>
      <w:ind w:left="800"/>
    </w:pPr>
    <w:rPr>
      <w:rFonts w:ascii="Times New Roman" w:hAnsi="Times New Roman"/>
      <w:b/>
    </w:rPr>
  </w:style>
  <w:style w:type="paragraph" w:styleId="TOC7">
    <w:name w:val="toc 7"/>
    <w:basedOn w:val="Normal"/>
    <w:next w:val="Normal"/>
    <w:semiHidden/>
    <w:rsid w:val="00621597"/>
    <w:pPr>
      <w:tabs>
        <w:tab w:val="right" w:pos="8648"/>
      </w:tabs>
      <w:ind w:left="1000"/>
    </w:pPr>
    <w:rPr>
      <w:rFonts w:ascii="Times New Roman" w:hAnsi="Times New Roman"/>
      <w:b/>
    </w:rPr>
  </w:style>
  <w:style w:type="paragraph" w:styleId="TOC8">
    <w:name w:val="toc 8"/>
    <w:basedOn w:val="Normal"/>
    <w:next w:val="Normal"/>
    <w:semiHidden/>
    <w:rsid w:val="00621597"/>
    <w:pPr>
      <w:tabs>
        <w:tab w:val="right" w:pos="8648"/>
      </w:tabs>
      <w:ind w:left="1200"/>
    </w:pPr>
    <w:rPr>
      <w:rFonts w:ascii="Times New Roman" w:hAnsi="Times New Roman"/>
      <w:b/>
    </w:rPr>
  </w:style>
  <w:style w:type="paragraph" w:styleId="TOC9">
    <w:name w:val="toc 9"/>
    <w:basedOn w:val="Normal"/>
    <w:next w:val="Normal"/>
    <w:semiHidden/>
    <w:rsid w:val="00621597"/>
    <w:pPr>
      <w:tabs>
        <w:tab w:val="right" w:pos="8648"/>
      </w:tabs>
      <w:ind w:left="1400"/>
    </w:pPr>
    <w:rPr>
      <w:rFonts w:ascii="Times New Roman" w:hAnsi="Times New Roman"/>
      <w:b/>
    </w:rPr>
  </w:style>
  <w:style w:type="paragraph" w:styleId="NoSpacing">
    <w:name w:val="No Spacing"/>
    <w:uiPriority w:val="3"/>
    <w:rsid w:val="00621597"/>
    <w:pPr>
      <w:spacing w:after="0"/>
      <w:jc w:val="both"/>
    </w:pPr>
    <w:rPr>
      <w:rFonts w:ascii="Arial" w:hAnsi="Arial" w:cs="Arial"/>
      <w:iCs/>
      <w:color w:val="4B4B4B"/>
    </w:rPr>
  </w:style>
  <w:style w:type="table" w:styleId="MediumGrid3-Accent2">
    <w:name w:val="Medium Grid 3 Accent 2"/>
    <w:basedOn w:val="TableNormal"/>
    <w:uiPriority w:val="69"/>
    <w:rsid w:val="006215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2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4B4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4B4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4B4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4B4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5A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5A5" w:themeFill="accent2" w:themeFillTint="7F"/>
      </w:tcPr>
    </w:tblStylePr>
  </w:style>
  <w:style w:type="table" w:styleId="MediumShading1-Accent4">
    <w:name w:val="Medium Shading 1 Accent 4"/>
    <w:basedOn w:val="TableNormal"/>
    <w:uiPriority w:val="63"/>
    <w:rsid w:val="00621597"/>
    <w:pPr>
      <w:spacing w:after="0"/>
    </w:pPr>
    <w:tblPr>
      <w:tblStyleRowBandSize w:val="1"/>
      <w:tblStyleColBandSize w:val="1"/>
      <w:tblBorders>
        <w:top w:val="single" w:sz="8"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single" w:sz="8" w:space="0" w:color="6EBCD8" w:themeColor="accent4" w:themeTint="BF"/>
      </w:tblBorders>
    </w:tblPr>
    <w:tblStylePr w:type="firstRow">
      <w:pPr>
        <w:spacing w:before="0" w:after="0" w:line="240" w:lineRule="auto"/>
      </w:pPr>
      <w:rPr>
        <w:b/>
        <w:bCs/>
        <w:color w:val="FFFFFF" w:themeColor="background1"/>
      </w:rPr>
      <w:tblPr/>
      <w:tcPr>
        <w:tcBorders>
          <w:top w:val="single" w:sz="8"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nil"/>
          <w:insideV w:val="nil"/>
        </w:tcBorders>
        <w:shd w:val="clear" w:color="auto" w:fill="3FA6CC" w:themeFill="accent4"/>
      </w:tcPr>
    </w:tblStylePr>
    <w:tblStylePr w:type="lastRow">
      <w:pPr>
        <w:spacing w:before="0" w:after="0" w:line="240" w:lineRule="auto"/>
      </w:pPr>
      <w:rPr>
        <w:b/>
        <w:bCs/>
      </w:rPr>
      <w:tblPr/>
      <w:tcPr>
        <w:tcBorders>
          <w:top w:val="double" w:sz="6"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E8F2" w:themeFill="accent4" w:themeFillTint="3F"/>
      </w:tcPr>
    </w:tblStylePr>
    <w:tblStylePr w:type="band1Horz">
      <w:tblPr/>
      <w:tcPr>
        <w:tcBorders>
          <w:insideH w:val="nil"/>
          <w:insideV w:val="nil"/>
        </w:tcBorders>
        <w:shd w:val="clear" w:color="auto" w:fill="CFE8F2"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21597"/>
    <w:pPr>
      <w:spacing w:after="0"/>
    </w:pPr>
    <w:tblPr>
      <w:tblStyleRowBandSize w:val="1"/>
      <w:tblStyleColBandSize w:val="1"/>
      <w:tblBorders>
        <w:top w:val="single" w:sz="8"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single" w:sz="8" w:space="0" w:color="92CF6F" w:themeColor="accent6" w:themeTint="BF"/>
      </w:tblBorders>
    </w:tblPr>
    <w:tblStylePr w:type="firstRow">
      <w:pPr>
        <w:spacing w:before="0" w:after="0" w:line="240" w:lineRule="auto"/>
      </w:pPr>
      <w:rPr>
        <w:rFonts w:ascii="Arial" w:hAnsi="Arial"/>
        <w:b/>
        <w:bCs/>
        <w:i w:val="0"/>
        <w:color w:val="FFFFFF" w:themeColor="background1"/>
      </w:rPr>
      <w:tblPr/>
      <w:tcPr>
        <w:tcBorders>
          <w:top w:val="single" w:sz="8"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nil"/>
          <w:insideV w:val="nil"/>
        </w:tcBorders>
        <w:shd w:val="clear" w:color="auto" w:fill="6EC040" w:themeFill="accent6"/>
      </w:tcPr>
    </w:tblStylePr>
    <w:tblStylePr w:type="lastRow">
      <w:pPr>
        <w:spacing w:before="0" w:after="0" w:line="240" w:lineRule="auto"/>
      </w:pPr>
      <w:rPr>
        <w:b/>
        <w:bCs/>
      </w:rPr>
      <w:tblPr/>
      <w:tcPr>
        <w:tcBorders>
          <w:top w:val="double" w:sz="6"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FCF" w:themeFill="accent6" w:themeFillTint="3F"/>
      </w:tcPr>
    </w:tblStylePr>
    <w:tblStylePr w:type="band1Horz">
      <w:tblPr/>
      <w:tcPr>
        <w:tcBorders>
          <w:insideH w:val="nil"/>
          <w:insideV w:val="nil"/>
        </w:tcBorders>
        <w:shd w:val="clear" w:color="auto" w:fill="DAEFC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21597"/>
    <w:pPr>
      <w:spacing w:after="0"/>
    </w:pPr>
    <w:tblPr>
      <w:tblStyleRowBandSize w:val="1"/>
      <w:tblStyleColBandSize w:val="1"/>
      <w:tblBorders>
        <w:top w:val="single" w:sz="8"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single" w:sz="8" w:space="0" w:color="8A8A8A" w:themeColor="accent5" w:themeTint="BF"/>
      </w:tblBorders>
    </w:tblPr>
    <w:tblStylePr w:type="firstRow">
      <w:pPr>
        <w:spacing w:before="0" w:after="0" w:line="240" w:lineRule="auto"/>
      </w:pPr>
      <w:rPr>
        <w:b/>
        <w:bCs/>
        <w:color w:val="FFFFFF" w:themeColor="background1"/>
      </w:rPr>
      <w:tblPr/>
      <w:tcPr>
        <w:tcBorders>
          <w:top w:val="single" w:sz="8"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nil"/>
          <w:insideV w:val="nil"/>
        </w:tcBorders>
        <w:shd w:val="clear" w:color="auto" w:fill="646464" w:themeFill="accent5"/>
      </w:tcPr>
    </w:tblStylePr>
    <w:tblStylePr w:type="lastRow">
      <w:pPr>
        <w:spacing w:before="0" w:after="0" w:line="240" w:lineRule="auto"/>
      </w:pPr>
      <w:rPr>
        <w:b/>
        <w:bCs/>
      </w:rPr>
      <w:tblPr/>
      <w:tcPr>
        <w:tcBorders>
          <w:top w:val="double" w:sz="6"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8D8" w:themeFill="accent5" w:themeFillTint="3F"/>
      </w:tcPr>
    </w:tblStylePr>
    <w:tblStylePr w:type="band1Horz">
      <w:tblPr/>
      <w:tcPr>
        <w:tcBorders>
          <w:insideH w:val="nil"/>
          <w:insideV w:val="nil"/>
        </w:tcBorders>
        <w:shd w:val="clear" w:color="auto" w:fill="D8D8D8" w:themeFill="accent5"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6215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C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C040" w:themeFill="accent6"/>
      </w:tcPr>
    </w:tblStylePr>
    <w:tblStylePr w:type="lastCol">
      <w:rPr>
        <w:b/>
        <w:bCs/>
        <w:color w:val="FFFFFF" w:themeColor="background1"/>
      </w:rPr>
      <w:tblPr/>
      <w:tcPr>
        <w:tcBorders>
          <w:left w:val="nil"/>
          <w:right w:val="nil"/>
          <w:insideH w:val="nil"/>
          <w:insideV w:val="nil"/>
        </w:tcBorders>
        <w:shd w:val="clear" w:color="auto" w:fill="6EC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621597"/>
    <w:pPr>
      <w:spacing w:after="0"/>
    </w:pPr>
    <w:rPr>
      <w:color w:val="FFFFFF" w:themeColor="background1"/>
    </w:rPr>
    <w:tblPr>
      <w:tblStyleRowBandSize w:val="1"/>
      <w:tblStyleColBandSize w:val="1"/>
    </w:tblPr>
    <w:tcPr>
      <w:shd w:val="clear" w:color="auto" w:fill="F2016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FA6CC" w:themeFill="text1"/>
      </w:tcPr>
    </w:tblStylePr>
    <w:tblStylePr w:type="lastRow">
      <w:tblPr/>
      <w:tcPr>
        <w:tcBorders>
          <w:top w:val="single" w:sz="18" w:space="0" w:color="FFFFFF" w:themeColor="background1"/>
          <w:left w:val="nil"/>
          <w:bottom w:val="nil"/>
          <w:right w:val="nil"/>
          <w:insideH w:val="nil"/>
          <w:insideV w:val="nil"/>
        </w:tcBorders>
        <w:shd w:val="clear" w:color="auto" w:fill="78003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005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0050" w:themeFill="accent3" w:themeFillShade="BF"/>
      </w:tcPr>
    </w:tblStylePr>
    <w:tblStylePr w:type="band1Vert">
      <w:tblPr/>
      <w:tcPr>
        <w:tcBorders>
          <w:top w:val="nil"/>
          <w:left w:val="nil"/>
          <w:bottom w:val="nil"/>
          <w:right w:val="nil"/>
          <w:insideH w:val="nil"/>
          <w:insideV w:val="nil"/>
        </w:tcBorders>
        <w:shd w:val="clear" w:color="auto" w:fill="B50050" w:themeFill="accent3" w:themeFillShade="BF"/>
      </w:tcPr>
    </w:tblStylePr>
    <w:tblStylePr w:type="band1Horz">
      <w:tblPr/>
      <w:tcPr>
        <w:tcBorders>
          <w:top w:val="nil"/>
          <w:left w:val="nil"/>
          <w:bottom w:val="nil"/>
          <w:right w:val="nil"/>
          <w:insideH w:val="nil"/>
          <w:insideV w:val="nil"/>
        </w:tcBorders>
        <w:shd w:val="clear" w:color="auto" w:fill="B50050" w:themeFill="accent3" w:themeFillShade="BF"/>
      </w:tcPr>
    </w:tblStylePr>
  </w:style>
  <w:style w:type="table" w:customStyle="1" w:styleId="LightList-Accent11">
    <w:name w:val="Light List - Accent 11"/>
    <w:basedOn w:val="TableNormal"/>
    <w:uiPriority w:val="61"/>
    <w:rsid w:val="00621597"/>
    <w:pPr>
      <w:spacing w:after="0"/>
    </w:pPr>
    <w:tblPr>
      <w:tblStyleRowBandSize w:val="1"/>
      <w:tblStyleColBandSize w:val="1"/>
      <w:tblBorders>
        <w:top w:val="single" w:sz="8" w:space="0" w:color="F06A00" w:themeColor="accent1"/>
        <w:left w:val="single" w:sz="8" w:space="0" w:color="F06A00" w:themeColor="accent1"/>
        <w:bottom w:val="single" w:sz="8" w:space="0" w:color="F06A00" w:themeColor="accent1"/>
        <w:right w:val="single" w:sz="8" w:space="0" w:color="F06A00" w:themeColor="accent1"/>
      </w:tblBorders>
    </w:tblPr>
    <w:tblStylePr w:type="firstRow">
      <w:pPr>
        <w:spacing w:before="0" w:after="0" w:line="240" w:lineRule="auto"/>
      </w:pPr>
      <w:rPr>
        <w:b/>
        <w:bCs/>
        <w:color w:val="FFFFFF" w:themeColor="background1"/>
      </w:rPr>
      <w:tblPr/>
      <w:tcPr>
        <w:shd w:val="clear" w:color="auto" w:fill="F06A00" w:themeFill="accent1"/>
      </w:tcPr>
    </w:tblStylePr>
    <w:tblStylePr w:type="lastRow">
      <w:pPr>
        <w:spacing w:before="0" w:after="0" w:line="240" w:lineRule="auto"/>
      </w:pPr>
      <w:rPr>
        <w:b/>
        <w:bCs/>
      </w:rPr>
      <w:tblPr/>
      <w:tcPr>
        <w:tcBorders>
          <w:top w:val="double" w:sz="6" w:space="0" w:color="F06A00" w:themeColor="accent1"/>
          <w:left w:val="single" w:sz="8" w:space="0" w:color="F06A00" w:themeColor="accent1"/>
          <w:bottom w:val="single" w:sz="8" w:space="0" w:color="F06A00" w:themeColor="accent1"/>
          <w:right w:val="single" w:sz="8" w:space="0" w:color="F06A00" w:themeColor="accent1"/>
        </w:tcBorders>
      </w:tcPr>
    </w:tblStylePr>
    <w:tblStylePr w:type="firstCol">
      <w:rPr>
        <w:b/>
        <w:bCs/>
      </w:rPr>
    </w:tblStylePr>
    <w:tblStylePr w:type="lastCol">
      <w:rPr>
        <w:b/>
        <w:bCs/>
      </w:rPr>
    </w:tblStylePr>
    <w:tblStylePr w:type="band1Vert">
      <w:tblPr/>
      <w:tcPr>
        <w:tcBorders>
          <w:top w:val="single" w:sz="8" w:space="0" w:color="F06A00" w:themeColor="accent1"/>
          <w:left w:val="single" w:sz="8" w:space="0" w:color="F06A00" w:themeColor="accent1"/>
          <w:bottom w:val="single" w:sz="8" w:space="0" w:color="F06A00" w:themeColor="accent1"/>
          <w:right w:val="single" w:sz="8" w:space="0" w:color="F06A00" w:themeColor="accent1"/>
        </w:tcBorders>
      </w:tcPr>
    </w:tblStylePr>
    <w:tblStylePr w:type="band1Horz">
      <w:tblPr/>
      <w:tcPr>
        <w:tcBorders>
          <w:top w:val="single" w:sz="8" w:space="0" w:color="F06A00" w:themeColor="accent1"/>
          <w:left w:val="single" w:sz="8" w:space="0" w:color="F06A00" w:themeColor="accent1"/>
          <w:bottom w:val="single" w:sz="8" w:space="0" w:color="F06A00" w:themeColor="accent1"/>
          <w:right w:val="single" w:sz="8" w:space="0" w:color="F06A00" w:themeColor="accent1"/>
        </w:tcBorders>
      </w:tcPr>
    </w:tblStylePr>
  </w:style>
  <w:style w:type="table" w:customStyle="1" w:styleId="LightList1">
    <w:name w:val="Light List1"/>
    <w:basedOn w:val="TableNormal"/>
    <w:uiPriority w:val="61"/>
    <w:rsid w:val="00621597"/>
    <w:pPr>
      <w:spacing w:after="0"/>
    </w:pPr>
    <w:tblPr>
      <w:tblStyleRowBandSize w:val="1"/>
      <w:tblStyleColBandSize w:val="1"/>
      <w:tblBorders>
        <w:top w:val="single" w:sz="8" w:space="0" w:color="3FA6CC" w:themeColor="text1"/>
        <w:left w:val="single" w:sz="8" w:space="0" w:color="3FA6CC" w:themeColor="text1"/>
        <w:bottom w:val="single" w:sz="8" w:space="0" w:color="3FA6CC" w:themeColor="text1"/>
        <w:right w:val="single" w:sz="8" w:space="0" w:color="3FA6CC" w:themeColor="text1"/>
      </w:tblBorders>
    </w:tblPr>
    <w:tblStylePr w:type="firstRow">
      <w:pPr>
        <w:spacing w:before="0" w:after="0" w:line="240" w:lineRule="auto"/>
      </w:pPr>
      <w:rPr>
        <w:b/>
        <w:bCs/>
        <w:color w:val="FFFFFF" w:themeColor="background1"/>
      </w:rPr>
      <w:tblPr/>
      <w:tcPr>
        <w:shd w:val="clear" w:color="auto" w:fill="E1F2D8" w:themeFill="text2" w:themeFillTint="33"/>
      </w:tcPr>
    </w:tblStylePr>
    <w:tblStylePr w:type="lastRow">
      <w:pPr>
        <w:spacing w:before="0" w:after="0" w:line="240" w:lineRule="auto"/>
      </w:pPr>
      <w:rPr>
        <w:b/>
        <w:bCs/>
      </w:rPr>
      <w:tblPr/>
      <w:tcPr>
        <w:tcBorders>
          <w:top w:val="double" w:sz="6" w:space="0" w:color="3FA6CC" w:themeColor="text1"/>
          <w:left w:val="single" w:sz="8" w:space="0" w:color="3FA6CC" w:themeColor="text1"/>
          <w:bottom w:val="single" w:sz="8" w:space="0" w:color="3FA6CC" w:themeColor="text1"/>
          <w:right w:val="single" w:sz="8" w:space="0" w:color="3FA6CC" w:themeColor="text1"/>
        </w:tcBorders>
      </w:tcPr>
    </w:tblStylePr>
    <w:tblStylePr w:type="firstCol">
      <w:rPr>
        <w:b w:val="0"/>
        <w:bCs/>
        <w:i w:val="0"/>
      </w:rPr>
    </w:tblStylePr>
    <w:tblStylePr w:type="lastCol">
      <w:rPr>
        <w:b w:val="0"/>
        <w:bCs/>
        <w:i w:val="0"/>
      </w:rPr>
    </w:tblStylePr>
    <w:tblStylePr w:type="band1Vert">
      <w:tblPr/>
      <w:tcPr>
        <w:tcBorders>
          <w:top w:val="single" w:sz="8" w:space="0" w:color="3FA6CC" w:themeColor="text1"/>
          <w:left w:val="single" w:sz="8" w:space="0" w:color="3FA6CC" w:themeColor="text1"/>
          <w:bottom w:val="single" w:sz="8" w:space="0" w:color="3FA6CC" w:themeColor="text1"/>
          <w:right w:val="single" w:sz="8" w:space="0" w:color="3FA6CC" w:themeColor="text1"/>
        </w:tcBorders>
      </w:tcPr>
    </w:tblStylePr>
    <w:tblStylePr w:type="band1Horz">
      <w:rPr>
        <w:color w:val="3FA6CC" w:themeColor="text1"/>
      </w:rPr>
      <w:tblPr/>
      <w:tcPr>
        <w:tcBorders>
          <w:top w:val="single" w:sz="8" w:space="0" w:color="3FA6CC" w:themeColor="text1"/>
          <w:left w:val="single" w:sz="8" w:space="0" w:color="3FA6CC" w:themeColor="text1"/>
          <w:bottom w:val="single" w:sz="8" w:space="0" w:color="3FA6CC" w:themeColor="text1"/>
          <w:right w:val="single" w:sz="8" w:space="0" w:color="3FA6CC" w:themeColor="text1"/>
        </w:tcBorders>
      </w:tcPr>
    </w:tblStylePr>
    <w:tblStylePr w:type="band2Horz">
      <w:rPr>
        <w:color w:val="3FA6CC" w:themeColor="text1"/>
      </w:rPr>
    </w:tblStylePr>
  </w:style>
  <w:style w:type="table" w:customStyle="1" w:styleId="LightShading1">
    <w:name w:val="Light Shading1"/>
    <w:basedOn w:val="TableNormal"/>
    <w:uiPriority w:val="60"/>
    <w:rsid w:val="00621597"/>
    <w:pPr>
      <w:spacing w:after="0"/>
    </w:pPr>
    <w:rPr>
      <w:color w:val="2A7E9D" w:themeColor="text1" w:themeShade="BF"/>
    </w:rPr>
    <w:tblPr>
      <w:tblStyleRowBandSize w:val="1"/>
      <w:tblStyleColBandSize w:val="1"/>
      <w:tblBorders>
        <w:top w:val="single" w:sz="8" w:space="0" w:color="3FA6CC" w:themeColor="text1"/>
        <w:bottom w:val="single" w:sz="8" w:space="0" w:color="3FA6CC" w:themeColor="text1"/>
      </w:tblBorders>
    </w:tblPr>
    <w:tblStylePr w:type="firstRow">
      <w:pPr>
        <w:spacing w:before="0" w:after="0" w:line="240" w:lineRule="auto"/>
      </w:pPr>
      <w:rPr>
        <w:b/>
        <w:bCs/>
      </w:rPr>
      <w:tblPr/>
      <w:tcPr>
        <w:tcBorders>
          <w:top w:val="single" w:sz="8" w:space="0" w:color="3FA6CC" w:themeColor="text1"/>
          <w:left w:val="nil"/>
          <w:bottom w:val="single" w:sz="8" w:space="0" w:color="3FA6CC" w:themeColor="text1"/>
          <w:right w:val="nil"/>
          <w:insideH w:val="nil"/>
          <w:insideV w:val="nil"/>
        </w:tcBorders>
      </w:tcPr>
    </w:tblStylePr>
    <w:tblStylePr w:type="lastRow">
      <w:pPr>
        <w:spacing w:before="0" w:after="0" w:line="240" w:lineRule="auto"/>
      </w:pPr>
      <w:rPr>
        <w:b/>
        <w:bCs/>
      </w:rPr>
      <w:tblPr/>
      <w:tcPr>
        <w:tcBorders>
          <w:top w:val="single" w:sz="8" w:space="0" w:color="3FA6CC" w:themeColor="text1"/>
          <w:left w:val="nil"/>
          <w:bottom w:val="single" w:sz="8" w:space="0" w:color="3FA6C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8F2" w:themeFill="text1" w:themeFillTint="3F"/>
      </w:tcPr>
    </w:tblStylePr>
    <w:tblStylePr w:type="band1Horz">
      <w:tblPr/>
      <w:tcPr>
        <w:tcBorders>
          <w:left w:val="nil"/>
          <w:right w:val="nil"/>
          <w:insideH w:val="nil"/>
          <w:insideV w:val="nil"/>
        </w:tcBorders>
        <w:shd w:val="clear" w:color="auto" w:fill="CFE8F2" w:themeFill="text1" w:themeFillTint="3F"/>
      </w:tcPr>
    </w:tblStylePr>
  </w:style>
  <w:style w:type="table" w:customStyle="1" w:styleId="LightShading-Accent12">
    <w:name w:val="Light Shading - Accent 12"/>
    <w:basedOn w:val="TableNormal"/>
    <w:uiPriority w:val="60"/>
    <w:rsid w:val="00621597"/>
    <w:pPr>
      <w:spacing w:after="0"/>
    </w:pPr>
    <w:rPr>
      <w:color w:val="B34E00" w:themeColor="accent1" w:themeShade="BF"/>
    </w:rPr>
    <w:tblPr>
      <w:tblStyleRowBandSize w:val="1"/>
      <w:tblStyleColBandSize w:val="1"/>
      <w:tblBorders>
        <w:top w:val="single" w:sz="8" w:space="0" w:color="F06A00" w:themeColor="accent1"/>
        <w:bottom w:val="single" w:sz="8" w:space="0" w:color="F06A00" w:themeColor="accent1"/>
      </w:tblBorders>
    </w:tblPr>
    <w:tblStylePr w:type="fir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la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C" w:themeFill="accent1" w:themeFillTint="3F"/>
      </w:tcPr>
    </w:tblStylePr>
    <w:tblStylePr w:type="band1Horz">
      <w:tblPr/>
      <w:tcPr>
        <w:tcBorders>
          <w:left w:val="nil"/>
          <w:right w:val="nil"/>
          <w:insideH w:val="nil"/>
          <w:insideV w:val="nil"/>
        </w:tcBorders>
        <w:shd w:val="clear" w:color="auto" w:fill="FFD9BC" w:themeFill="accent1" w:themeFillTint="3F"/>
      </w:tcPr>
    </w:tblStylePr>
  </w:style>
  <w:style w:type="table" w:styleId="LightShading-Accent2">
    <w:name w:val="Light Shading Accent 2"/>
    <w:basedOn w:val="TableNormal"/>
    <w:uiPriority w:val="60"/>
    <w:rsid w:val="00621597"/>
    <w:pPr>
      <w:spacing w:after="0"/>
    </w:pPr>
    <w:rPr>
      <w:color w:val="383838" w:themeColor="accent2" w:themeShade="BF"/>
    </w:rPr>
    <w:tblPr>
      <w:tblStyleRowBandSize w:val="1"/>
      <w:tblStyleColBandSize w:val="1"/>
      <w:tblBorders>
        <w:top w:val="single" w:sz="8" w:space="0" w:color="4B4B4B" w:themeColor="accent2"/>
        <w:bottom w:val="single" w:sz="8" w:space="0" w:color="4B4B4B" w:themeColor="accent2"/>
      </w:tblBorders>
    </w:tblPr>
    <w:tblStylePr w:type="firstRow">
      <w:pPr>
        <w:spacing w:before="0" w:after="0" w:line="240" w:lineRule="auto"/>
      </w:pPr>
      <w:rPr>
        <w:b/>
        <w:bCs/>
      </w:rPr>
      <w:tblPr/>
      <w:tcPr>
        <w:tcBorders>
          <w:top w:val="single" w:sz="8" w:space="0" w:color="4B4B4B" w:themeColor="accent2"/>
          <w:left w:val="nil"/>
          <w:bottom w:val="single" w:sz="8" w:space="0" w:color="4B4B4B" w:themeColor="accent2"/>
          <w:right w:val="nil"/>
          <w:insideH w:val="nil"/>
          <w:insideV w:val="nil"/>
        </w:tcBorders>
      </w:tcPr>
    </w:tblStylePr>
    <w:tblStylePr w:type="lastRow">
      <w:pPr>
        <w:spacing w:before="0" w:after="0" w:line="240" w:lineRule="auto"/>
      </w:pPr>
      <w:rPr>
        <w:b/>
        <w:bCs/>
      </w:rPr>
      <w:tblPr/>
      <w:tcPr>
        <w:tcBorders>
          <w:top w:val="single" w:sz="8" w:space="0" w:color="4B4B4B" w:themeColor="accent2"/>
          <w:left w:val="nil"/>
          <w:bottom w:val="single" w:sz="8" w:space="0" w:color="4B4B4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D2" w:themeFill="accent2" w:themeFillTint="3F"/>
      </w:tcPr>
    </w:tblStylePr>
    <w:tblStylePr w:type="band1Horz">
      <w:tblPr/>
      <w:tcPr>
        <w:tcBorders>
          <w:left w:val="nil"/>
          <w:right w:val="nil"/>
          <w:insideH w:val="nil"/>
          <w:insideV w:val="nil"/>
        </w:tcBorders>
        <w:shd w:val="clear" w:color="auto" w:fill="D2D2D2" w:themeFill="accent2" w:themeFillTint="3F"/>
      </w:tcPr>
    </w:tblStylePr>
  </w:style>
  <w:style w:type="table" w:styleId="LightShading-Accent3">
    <w:name w:val="Light Shading Accent 3"/>
    <w:basedOn w:val="TableNormal"/>
    <w:uiPriority w:val="60"/>
    <w:rsid w:val="00621597"/>
    <w:pPr>
      <w:spacing w:after="0"/>
    </w:pPr>
    <w:rPr>
      <w:color w:val="B50050" w:themeColor="accent3" w:themeShade="BF"/>
    </w:rPr>
    <w:tblPr>
      <w:tblStyleRowBandSize w:val="1"/>
      <w:tblStyleColBandSize w:val="1"/>
      <w:tblBorders>
        <w:top w:val="single" w:sz="8" w:space="0" w:color="F2016C" w:themeColor="accent3"/>
        <w:bottom w:val="single" w:sz="8" w:space="0" w:color="F2016C" w:themeColor="accent3"/>
      </w:tblBorders>
    </w:tblPr>
    <w:tblStylePr w:type="firstRow">
      <w:pPr>
        <w:spacing w:before="0" w:after="0" w:line="240" w:lineRule="auto"/>
      </w:pPr>
      <w:rPr>
        <w:b/>
        <w:bCs/>
      </w:rPr>
      <w:tblPr/>
      <w:tcPr>
        <w:tcBorders>
          <w:top w:val="single" w:sz="8" w:space="0" w:color="F2016C" w:themeColor="accent3"/>
          <w:left w:val="nil"/>
          <w:bottom w:val="single" w:sz="8" w:space="0" w:color="F2016C" w:themeColor="accent3"/>
          <w:right w:val="nil"/>
          <w:insideH w:val="nil"/>
          <w:insideV w:val="nil"/>
        </w:tcBorders>
      </w:tcPr>
    </w:tblStylePr>
    <w:tblStylePr w:type="lastRow">
      <w:pPr>
        <w:spacing w:before="0" w:after="0" w:line="240" w:lineRule="auto"/>
      </w:pPr>
      <w:rPr>
        <w:b/>
        <w:bCs/>
      </w:rPr>
      <w:tblPr/>
      <w:tcPr>
        <w:tcBorders>
          <w:top w:val="single" w:sz="8" w:space="0" w:color="F2016C" w:themeColor="accent3"/>
          <w:left w:val="nil"/>
          <w:bottom w:val="single" w:sz="8" w:space="0" w:color="F2016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DDA" w:themeFill="accent3" w:themeFillTint="3F"/>
      </w:tcPr>
    </w:tblStylePr>
    <w:tblStylePr w:type="band1Horz">
      <w:tblPr/>
      <w:tcPr>
        <w:tcBorders>
          <w:left w:val="nil"/>
          <w:right w:val="nil"/>
          <w:insideH w:val="nil"/>
          <w:insideV w:val="nil"/>
        </w:tcBorders>
        <w:shd w:val="clear" w:color="auto" w:fill="FEBDDA" w:themeFill="accent3" w:themeFillTint="3F"/>
      </w:tcPr>
    </w:tblStylePr>
  </w:style>
  <w:style w:type="table" w:styleId="LightList-Accent2">
    <w:name w:val="Light List Accent 2"/>
    <w:basedOn w:val="TableNormal"/>
    <w:uiPriority w:val="61"/>
    <w:rsid w:val="00621597"/>
    <w:pPr>
      <w:spacing w:after="0"/>
    </w:pPr>
    <w:tblPr>
      <w:tblStyleRowBandSize w:val="1"/>
      <w:tblStyleColBandSize w:val="1"/>
      <w:tblBorders>
        <w:top w:val="single" w:sz="8" w:space="0" w:color="4B4B4B" w:themeColor="accent2"/>
        <w:left w:val="single" w:sz="8" w:space="0" w:color="4B4B4B" w:themeColor="accent2"/>
        <w:bottom w:val="single" w:sz="8" w:space="0" w:color="4B4B4B" w:themeColor="accent2"/>
        <w:right w:val="single" w:sz="8" w:space="0" w:color="4B4B4B" w:themeColor="accent2"/>
      </w:tblBorders>
    </w:tblPr>
    <w:tblStylePr w:type="firstRow">
      <w:pPr>
        <w:spacing w:before="0" w:after="0" w:line="240" w:lineRule="auto"/>
      </w:pPr>
      <w:rPr>
        <w:b/>
        <w:bCs/>
        <w:color w:val="FFFFFF" w:themeColor="background1"/>
      </w:rPr>
      <w:tblPr/>
      <w:tcPr>
        <w:shd w:val="clear" w:color="auto" w:fill="4B4B4B" w:themeFill="accent2"/>
      </w:tcPr>
    </w:tblStylePr>
    <w:tblStylePr w:type="lastRow">
      <w:pPr>
        <w:spacing w:before="0" w:after="0" w:line="240" w:lineRule="auto"/>
      </w:pPr>
      <w:rPr>
        <w:b/>
        <w:bCs/>
      </w:rPr>
      <w:tblPr/>
      <w:tcPr>
        <w:tcBorders>
          <w:top w:val="double" w:sz="6" w:space="0" w:color="4B4B4B" w:themeColor="accent2"/>
          <w:left w:val="single" w:sz="8" w:space="0" w:color="4B4B4B" w:themeColor="accent2"/>
          <w:bottom w:val="single" w:sz="8" w:space="0" w:color="4B4B4B" w:themeColor="accent2"/>
          <w:right w:val="single" w:sz="8" w:space="0" w:color="4B4B4B" w:themeColor="accent2"/>
        </w:tcBorders>
      </w:tcPr>
    </w:tblStylePr>
    <w:tblStylePr w:type="firstCol">
      <w:rPr>
        <w:b/>
        <w:bCs/>
      </w:rPr>
    </w:tblStylePr>
    <w:tblStylePr w:type="lastCol">
      <w:rPr>
        <w:b/>
        <w:bCs/>
      </w:rPr>
    </w:tblStylePr>
    <w:tblStylePr w:type="band1Vert">
      <w:tblPr/>
      <w:tcPr>
        <w:tcBorders>
          <w:top w:val="single" w:sz="8" w:space="0" w:color="4B4B4B" w:themeColor="accent2"/>
          <w:left w:val="single" w:sz="8" w:space="0" w:color="4B4B4B" w:themeColor="accent2"/>
          <w:bottom w:val="single" w:sz="8" w:space="0" w:color="4B4B4B" w:themeColor="accent2"/>
          <w:right w:val="single" w:sz="8" w:space="0" w:color="4B4B4B" w:themeColor="accent2"/>
        </w:tcBorders>
      </w:tcPr>
    </w:tblStylePr>
    <w:tblStylePr w:type="band1Horz">
      <w:tblPr/>
      <w:tcPr>
        <w:tcBorders>
          <w:top w:val="single" w:sz="8" w:space="0" w:color="4B4B4B" w:themeColor="accent2"/>
          <w:left w:val="single" w:sz="8" w:space="0" w:color="4B4B4B" w:themeColor="accent2"/>
          <w:bottom w:val="single" w:sz="8" w:space="0" w:color="4B4B4B" w:themeColor="accent2"/>
          <w:right w:val="single" w:sz="8" w:space="0" w:color="4B4B4B" w:themeColor="accent2"/>
        </w:tcBorders>
      </w:tcPr>
    </w:tblStylePr>
  </w:style>
  <w:style w:type="table" w:styleId="LightList-Accent3">
    <w:name w:val="Light List Accent 3"/>
    <w:basedOn w:val="TableNormal"/>
    <w:uiPriority w:val="61"/>
    <w:rsid w:val="00621597"/>
    <w:pPr>
      <w:spacing w:after="0"/>
    </w:pPr>
    <w:tblPr>
      <w:tblStyleRowBandSize w:val="1"/>
      <w:tblStyleColBandSize w:val="1"/>
      <w:tblBorders>
        <w:top w:val="single" w:sz="8" w:space="0" w:color="F2016C" w:themeColor="accent3"/>
        <w:left w:val="single" w:sz="8" w:space="0" w:color="F2016C" w:themeColor="accent3"/>
        <w:bottom w:val="single" w:sz="8" w:space="0" w:color="F2016C" w:themeColor="accent3"/>
        <w:right w:val="single" w:sz="8" w:space="0" w:color="F2016C" w:themeColor="accent3"/>
      </w:tblBorders>
    </w:tblPr>
    <w:tblStylePr w:type="firstRow">
      <w:pPr>
        <w:spacing w:before="0" w:after="0" w:line="240" w:lineRule="auto"/>
      </w:pPr>
      <w:rPr>
        <w:b/>
        <w:bCs/>
        <w:color w:val="FFFFFF" w:themeColor="background1"/>
      </w:rPr>
      <w:tblPr/>
      <w:tcPr>
        <w:shd w:val="clear" w:color="auto" w:fill="F2016C" w:themeFill="accent3"/>
      </w:tcPr>
    </w:tblStylePr>
    <w:tblStylePr w:type="lastRow">
      <w:pPr>
        <w:spacing w:before="0" w:after="0" w:line="240" w:lineRule="auto"/>
      </w:pPr>
      <w:rPr>
        <w:b/>
        <w:bCs/>
      </w:rPr>
      <w:tblPr/>
      <w:tcPr>
        <w:tcBorders>
          <w:top w:val="double" w:sz="6" w:space="0" w:color="F2016C" w:themeColor="accent3"/>
          <w:left w:val="single" w:sz="8" w:space="0" w:color="F2016C" w:themeColor="accent3"/>
          <w:bottom w:val="single" w:sz="8" w:space="0" w:color="F2016C" w:themeColor="accent3"/>
          <w:right w:val="single" w:sz="8" w:space="0" w:color="F2016C" w:themeColor="accent3"/>
        </w:tcBorders>
      </w:tcPr>
    </w:tblStylePr>
    <w:tblStylePr w:type="firstCol">
      <w:rPr>
        <w:b/>
        <w:bCs/>
      </w:rPr>
    </w:tblStylePr>
    <w:tblStylePr w:type="lastCol">
      <w:rPr>
        <w:b/>
        <w:bCs/>
      </w:rPr>
    </w:tblStylePr>
    <w:tblStylePr w:type="band1Vert">
      <w:tblPr/>
      <w:tcPr>
        <w:tcBorders>
          <w:top w:val="single" w:sz="8" w:space="0" w:color="F2016C" w:themeColor="accent3"/>
          <w:left w:val="single" w:sz="8" w:space="0" w:color="F2016C" w:themeColor="accent3"/>
          <w:bottom w:val="single" w:sz="8" w:space="0" w:color="F2016C" w:themeColor="accent3"/>
          <w:right w:val="single" w:sz="8" w:space="0" w:color="F2016C" w:themeColor="accent3"/>
        </w:tcBorders>
      </w:tcPr>
    </w:tblStylePr>
    <w:tblStylePr w:type="band1Horz">
      <w:tblPr/>
      <w:tcPr>
        <w:tcBorders>
          <w:top w:val="single" w:sz="8" w:space="0" w:color="F2016C" w:themeColor="accent3"/>
          <w:left w:val="single" w:sz="8" w:space="0" w:color="F2016C" w:themeColor="accent3"/>
          <w:bottom w:val="single" w:sz="8" w:space="0" w:color="F2016C" w:themeColor="accent3"/>
          <w:right w:val="single" w:sz="8" w:space="0" w:color="F2016C" w:themeColor="accent3"/>
        </w:tcBorders>
      </w:tcPr>
    </w:tblStylePr>
  </w:style>
  <w:style w:type="table" w:customStyle="1" w:styleId="MediumShading1-Accent11">
    <w:name w:val="Medium Shading 1 - Accent 11"/>
    <w:basedOn w:val="TableNormal"/>
    <w:uiPriority w:val="63"/>
    <w:rsid w:val="00621597"/>
    <w:pPr>
      <w:spacing w:after="0"/>
    </w:pPr>
    <w:tblPr>
      <w:tblStyleRowBandSize w:val="1"/>
      <w:tblStyleColBandSize w:val="1"/>
      <w:tblBorders>
        <w:top w:val="single" w:sz="8"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single" w:sz="8" w:space="0" w:color="FF8D34" w:themeColor="accent1" w:themeTint="BF"/>
      </w:tblBorders>
    </w:tblPr>
    <w:tblStylePr w:type="firstRow">
      <w:pPr>
        <w:spacing w:before="0" w:after="0" w:line="240" w:lineRule="auto"/>
      </w:pPr>
      <w:rPr>
        <w:b/>
        <w:bCs/>
        <w:color w:val="FFFFFF" w:themeColor="background1"/>
      </w:rPr>
      <w:tblPr/>
      <w:tcPr>
        <w:tcBorders>
          <w:top w:val="single" w:sz="8"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nil"/>
          <w:insideV w:val="nil"/>
        </w:tcBorders>
        <w:shd w:val="clear" w:color="auto" w:fill="F06A00" w:themeFill="accent1"/>
      </w:tcPr>
    </w:tblStylePr>
    <w:tblStylePr w:type="lastRow">
      <w:pPr>
        <w:spacing w:before="0" w:after="0" w:line="240" w:lineRule="auto"/>
      </w:pPr>
      <w:rPr>
        <w:b/>
        <w:bCs/>
      </w:rPr>
      <w:tblPr/>
      <w:tcPr>
        <w:tcBorders>
          <w:top w:val="double" w:sz="6"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9BC" w:themeFill="accent1" w:themeFillTint="3F"/>
      </w:tcPr>
    </w:tblStylePr>
    <w:tblStylePr w:type="band1Horz">
      <w:tblPr/>
      <w:tcPr>
        <w:tcBorders>
          <w:insideH w:val="nil"/>
          <w:insideV w:val="nil"/>
        </w:tcBorders>
        <w:shd w:val="clear" w:color="auto" w:fill="FFD9BC" w:themeFill="accent1" w:themeFillTint="3F"/>
      </w:tcPr>
    </w:tblStylePr>
    <w:tblStylePr w:type="band2Horz">
      <w:tblPr/>
      <w:tcPr>
        <w:tcBorders>
          <w:insideH w:val="nil"/>
          <w:insideV w:val="nil"/>
        </w:tcBorders>
      </w:tcPr>
    </w:tblStylePr>
  </w:style>
  <w:style w:type="paragraph" w:customStyle="1" w:styleId="MeetingHeaderCaps">
    <w:name w:val="MeetingHeaderCaps"/>
    <w:basedOn w:val="Normal"/>
    <w:uiPriority w:val="3"/>
    <w:rsid w:val="00BB3CF5"/>
    <w:pPr>
      <w:spacing w:after="20"/>
    </w:pPr>
    <w:rPr>
      <w:iCs w:val="0"/>
      <w:caps/>
      <w:color w:val="4B4B4B"/>
    </w:rPr>
  </w:style>
  <w:style w:type="paragraph" w:styleId="Title">
    <w:name w:val="Title"/>
    <w:basedOn w:val="Normal"/>
    <w:link w:val="TitleChar"/>
    <w:uiPriority w:val="3"/>
    <w:rsid w:val="00621597"/>
    <w:pPr>
      <w:spacing w:before="240" w:after="60" w:line="280" w:lineRule="exact"/>
      <w:jc w:val="left"/>
      <w:outlineLvl w:val="0"/>
    </w:pPr>
    <w:rPr>
      <w:bCs/>
      <w:caps/>
      <w:color w:val="3FA6CC"/>
      <w:kern w:val="28"/>
      <w:sz w:val="36"/>
      <w:szCs w:val="36"/>
    </w:rPr>
  </w:style>
  <w:style w:type="character" w:customStyle="1" w:styleId="TitleChar">
    <w:name w:val="Title Char"/>
    <w:basedOn w:val="DefaultParagraphFont"/>
    <w:link w:val="Title"/>
    <w:uiPriority w:val="3"/>
    <w:rsid w:val="007570FF"/>
    <w:rPr>
      <w:rFonts w:ascii="Arial" w:eastAsia="Times New Roman" w:hAnsi="Arial" w:cs="Arial"/>
      <w:bCs/>
      <w:iCs/>
      <w:caps/>
      <w:color w:val="3FA6CC"/>
      <w:kern w:val="28"/>
      <w:sz w:val="36"/>
      <w:szCs w:val="36"/>
    </w:rPr>
  </w:style>
  <w:style w:type="paragraph" w:customStyle="1" w:styleId="MeetingHeader">
    <w:name w:val="MeetingHeader"/>
    <w:basedOn w:val="Normal"/>
    <w:uiPriority w:val="3"/>
    <w:rsid w:val="00BB3CF5"/>
    <w:pPr>
      <w:spacing w:after="20"/>
    </w:pPr>
    <w:rPr>
      <w:iCs w:val="0"/>
      <w:color w:val="4B4B4B"/>
    </w:rPr>
  </w:style>
  <w:style w:type="paragraph" w:customStyle="1" w:styleId="MeetingTitle">
    <w:name w:val="MeetingTitle"/>
    <w:basedOn w:val="MeetingHeaderCaps"/>
    <w:next w:val="MeetingHeaderCaps"/>
    <w:uiPriority w:val="3"/>
    <w:rsid w:val="00621597"/>
  </w:style>
  <w:style w:type="character" w:styleId="SubtleEmphasis">
    <w:name w:val="Subtle Emphasis"/>
    <w:basedOn w:val="DefaultParagraphFont"/>
    <w:uiPriority w:val="19"/>
    <w:rsid w:val="00621597"/>
    <w:rPr>
      <w:i/>
      <w:iCs/>
      <w:color w:val="9FD2E5" w:themeColor="text1" w:themeTint="7F"/>
    </w:rPr>
  </w:style>
  <w:style w:type="paragraph" w:customStyle="1" w:styleId="BodyTextGrey">
    <w:name w:val="Body Text Grey"/>
    <w:basedOn w:val="BodyText"/>
    <w:link w:val="BodyTextGreyChar"/>
    <w:qFormat/>
    <w:rsid w:val="00163C1B"/>
    <w:pPr>
      <w:spacing w:after="200"/>
    </w:pPr>
    <w:rPr>
      <w:color w:val="455560"/>
      <w:lang w:eastAsia="en-US"/>
    </w:rPr>
  </w:style>
  <w:style w:type="paragraph" w:customStyle="1" w:styleId="Orange">
    <w:name w:val="Orange"/>
    <w:basedOn w:val="BodyText"/>
    <w:next w:val="BodyTextGrey"/>
    <w:link w:val="OrangeChar"/>
    <w:uiPriority w:val="2"/>
    <w:rsid w:val="00E25BD5"/>
    <w:pPr>
      <w:spacing w:after="200"/>
    </w:pPr>
    <w:rPr>
      <w:color w:val="F06A00" w:themeColor="accent1"/>
      <w:lang w:eastAsia="en-US"/>
    </w:rPr>
  </w:style>
  <w:style w:type="paragraph" w:customStyle="1" w:styleId="Blue">
    <w:name w:val="Blue"/>
    <w:basedOn w:val="BodyText"/>
    <w:next w:val="BodyTextGrey"/>
    <w:uiPriority w:val="2"/>
    <w:qFormat/>
    <w:rsid w:val="00E25BD5"/>
    <w:pPr>
      <w:spacing w:after="200"/>
    </w:pPr>
    <w:rPr>
      <w:color w:val="3FA6CC" w:themeColor="text1"/>
      <w:lang w:eastAsia="en-US"/>
    </w:rPr>
  </w:style>
  <w:style w:type="table" w:styleId="LightList-Accent4">
    <w:name w:val="Light List Accent 4"/>
    <w:basedOn w:val="TableNormal"/>
    <w:uiPriority w:val="61"/>
    <w:rsid w:val="00621597"/>
    <w:pPr>
      <w:spacing w:after="0"/>
    </w:pPr>
    <w:tblPr>
      <w:tblStyleRowBandSize w:val="1"/>
      <w:tblStyleColBandSize w:val="1"/>
      <w:tblBorders>
        <w:top w:val="single" w:sz="8" w:space="0" w:color="3FA6CC" w:themeColor="accent4"/>
        <w:left w:val="single" w:sz="8" w:space="0" w:color="3FA6CC" w:themeColor="accent4"/>
        <w:bottom w:val="single" w:sz="8" w:space="0" w:color="3FA6CC" w:themeColor="accent4"/>
        <w:right w:val="single" w:sz="8" w:space="0" w:color="3FA6CC" w:themeColor="accent4"/>
      </w:tblBorders>
    </w:tblPr>
    <w:tblStylePr w:type="firstRow">
      <w:pPr>
        <w:spacing w:before="0" w:after="0" w:line="240" w:lineRule="auto"/>
      </w:pPr>
      <w:rPr>
        <w:b/>
        <w:bCs/>
        <w:color w:val="FFFFFF" w:themeColor="background1"/>
      </w:rPr>
      <w:tblPr/>
      <w:tcPr>
        <w:shd w:val="clear" w:color="auto" w:fill="3FA6CC" w:themeFill="accent4"/>
      </w:tcPr>
    </w:tblStylePr>
    <w:tblStylePr w:type="lastRow">
      <w:pPr>
        <w:spacing w:before="0" w:after="0" w:line="240" w:lineRule="auto"/>
      </w:pPr>
      <w:rPr>
        <w:b/>
        <w:bCs/>
      </w:rPr>
      <w:tblPr/>
      <w:tcPr>
        <w:tcBorders>
          <w:top w:val="double" w:sz="6" w:space="0" w:color="3FA6CC" w:themeColor="accent4"/>
          <w:left w:val="single" w:sz="8" w:space="0" w:color="3FA6CC" w:themeColor="accent4"/>
          <w:bottom w:val="single" w:sz="8" w:space="0" w:color="3FA6CC" w:themeColor="accent4"/>
          <w:right w:val="single" w:sz="8" w:space="0" w:color="3FA6CC" w:themeColor="accent4"/>
        </w:tcBorders>
      </w:tcPr>
    </w:tblStylePr>
    <w:tblStylePr w:type="firstCol">
      <w:rPr>
        <w:b/>
        <w:bCs/>
      </w:rPr>
    </w:tblStylePr>
    <w:tblStylePr w:type="lastCol">
      <w:rPr>
        <w:b/>
        <w:bCs/>
      </w:rPr>
    </w:tblStylePr>
    <w:tblStylePr w:type="band1Vert">
      <w:tblPr/>
      <w:tcPr>
        <w:tcBorders>
          <w:top w:val="single" w:sz="8" w:space="0" w:color="3FA6CC" w:themeColor="accent4"/>
          <w:left w:val="single" w:sz="8" w:space="0" w:color="3FA6CC" w:themeColor="accent4"/>
          <w:bottom w:val="single" w:sz="8" w:space="0" w:color="3FA6CC" w:themeColor="accent4"/>
          <w:right w:val="single" w:sz="8" w:space="0" w:color="3FA6CC" w:themeColor="accent4"/>
        </w:tcBorders>
      </w:tcPr>
    </w:tblStylePr>
    <w:tblStylePr w:type="band1Horz">
      <w:tblPr/>
      <w:tcPr>
        <w:tcBorders>
          <w:top w:val="single" w:sz="8" w:space="0" w:color="3FA6CC" w:themeColor="accent4"/>
          <w:left w:val="single" w:sz="8" w:space="0" w:color="3FA6CC" w:themeColor="accent4"/>
          <w:bottom w:val="single" w:sz="8" w:space="0" w:color="3FA6CC" w:themeColor="accent4"/>
          <w:right w:val="single" w:sz="8" w:space="0" w:color="3FA6CC" w:themeColor="accent4"/>
        </w:tcBorders>
      </w:tcPr>
    </w:tblStylePr>
  </w:style>
  <w:style w:type="paragraph" w:customStyle="1" w:styleId="White">
    <w:name w:val="White"/>
    <w:basedOn w:val="BodyText"/>
    <w:next w:val="BodyTextGrey"/>
    <w:uiPriority w:val="2"/>
    <w:qFormat/>
    <w:rsid w:val="00E25BD5"/>
    <w:pPr>
      <w:spacing w:after="200"/>
    </w:pPr>
    <w:rPr>
      <w:color w:val="FFFFFF" w:themeColor="background1"/>
      <w:lang w:eastAsia="en-US"/>
    </w:rPr>
  </w:style>
  <w:style w:type="numbering" w:customStyle="1" w:styleId="HRNumber">
    <w:name w:val="HR Number"/>
    <w:uiPriority w:val="99"/>
    <w:rsid w:val="00BB3CF5"/>
    <w:pPr>
      <w:numPr>
        <w:numId w:val="1"/>
      </w:numPr>
    </w:pPr>
  </w:style>
  <w:style w:type="numbering" w:customStyle="1" w:styleId="HRBullet">
    <w:name w:val="HR Bullet"/>
    <w:uiPriority w:val="99"/>
    <w:rsid w:val="00621597"/>
    <w:pPr>
      <w:numPr>
        <w:numId w:val="2"/>
      </w:numPr>
    </w:pPr>
  </w:style>
  <w:style w:type="character" w:customStyle="1" w:styleId="Style1">
    <w:name w:val="Style1"/>
    <w:uiPriority w:val="1"/>
    <w:rsid w:val="00621597"/>
  </w:style>
  <w:style w:type="character" w:customStyle="1" w:styleId="OrangeChar">
    <w:name w:val="Orange Char"/>
    <w:basedOn w:val="DefaultParagraphFont"/>
    <w:link w:val="Orange"/>
    <w:uiPriority w:val="2"/>
    <w:rsid w:val="00BB3CF5"/>
    <w:rPr>
      <w:rFonts w:ascii="Arial" w:hAnsi="Arial" w:cs="Arial"/>
      <w:iCs/>
      <w:color w:val="F06A00" w:themeColor="accent1"/>
      <w:lang w:eastAsia="en-US"/>
    </w:rPr>
  </w:style>
  <w:style w:type="paragraph" w:customStyle="1" w:styleId="BulletHymans">
    <w:name w:val="Bullet Hymans"/>
    <w:uiPriority w:val="2"/>
    <w:qFormat/>
    <w:rsid w:val="000266BC"/>
    <w:pPr>
      <w:numPr>
        <w:numId w:val="10"/>
      </w:numPr>
      <w:spacing w:after="140" w:line="280" w:lineRule="exact"/>
    </w:pPr>
    <w:rPr>
      <w:rFonts w:ascii="Arial" w:hAnsi="Arial" w:cs="Arial"/>
      <w:iCs/>
      <w:color w:val="455560"/>
      <w:lang w:eastAsia="en-US"/>
    </w:rPr>
  </w:style>
  <w:style w:type="paragraph" w:styleId="ListParagraph">
    <w:name w:val="List Paragraph"/>
    <w:basedOn w:val="Normal"/>
    <w:uiPriority w:val="34"/>
    <w:qFormat/>
    <w:rsid w:val="00621597"/>
    <w:pPr>
      <w:ind w:left="720"/>
      <w:contextualSpacing/>
    </w:pPr>
  </w:style>
  <w:style w:type="paragraph" w:customStyle="1" w:styleId="NumberHymans">
    <w:name w:val="Number Hymans"/>
    <w:uiPriority w:val="2"/>
    <w:qFormat/>
    <w:rsid w:val="00E25BD5"/>
    <w:pPr>
      <w:numPr>
        <w:numId w:val="11"/>
      </w:numPr>
      <w:spacing w:after="140" w:line="280" w:lineRule="exact"/>
    </w:pPr>
    <w:rPr>
      <w:rFonts w:ascii="Arial" w:hAnsi="Arial" w:cs="Arial"/>
      <w:iCs/>
      <w:color w:val="4B4B4B"/>
      <w:lang w:eastAsia="en-US"/>
    </w:rPr>
  </w:style>
  <w:style w:type="paragraph" w:customStyle="1" w:styleId="StyleTenderVerticalBigBlue48ptLeft02cmRight02">
    <w:name w:val="Style Tender Vertical Big Blue + 48 pt Left:  0.2 cm Right:  0.2 ..."/>
    <w:basedOn w:val="TenderVerticalBigBlue"/>
    <w:rsid w:val="00621597"/>
    <w:pPr>
      <w:spacing w:after="20"/>
      <w:ind w:left="113" w:right="113"/>
    </w:pPr>
    <w:rPr>
      <w:rFonts w:cs="Times New Roman"/>
      <w:iCs w:val="0"/>
      <w:caps w:val="0"/>
    </w:rPr>
  </w:style>
  <w:style w:type="paragraph" w:styleId="BodyText">
    <w:name w:val="Body Text"/>
    <w:aliases w:val="Body Text Black"/>
    <w:link w:val="BodyTextChar"/>
    <w:rsid w:val="00E9359E"/>
    <w:pPr>
      <w:spacing w:line="280" w:lineRule="atLeast"/>
    </w:pPr>
    <w:rPr>
      <w:rFonts w:ascii="Arial" w:hAnsi="Arial" w:cs="Arial"/>
      <w:iCs/>
    </w:rPr>
  </w:style>
  <w:style w:type="character" w:customStyle="1" w:styleId="BodyTextChar">
    <w:name w:val="Body Text Char"/>
    <w:aliases w:val="Body Text Black Char"/>
    <w:basedOn w:val="DefaultParagraphFont"/>
    <w:link w:val="BodyText"/>
    <w:uiPriority w:val="1"/>
    <w:rsid w:val="00E9359E"/>
    <w:rPr>
      <w:rFonts w:ascii="Arial" w:eastAsia="Times New Roman" w:hAnsi="Arial" w:cs="Arial"/>
      <w:iCs/>
      <w:sz w:val="20"/>
      <w:szCs w:val="20"/>
    </w:rPr>
  </w:style>
  <w:style w:type="paragraph" w:customStyle="1" w:styleId="Filepath">
    <w:name w:val="Filepath"/>
    <w:uiPriority w:val="3"/>
    <w:rsid w:val="0054545C"/>
    <w:pPr>
      <w:spacing w:line="280" w:lineRule="atLeast"/>
      <w:ind w:left="-425"/>
    </w:pPr>
    <w:rPr>
      <w:rFonts w:ascii="Arial" w:hAnsi="Arial" w:cs="Arial"/>
      <w:color w:val="4B4B4B"/>
      <w:sz w:val="14"/>
    </w:rPr>
  </w:style>
  <w:style w:type="paragraph" w:customStyle="1" w:styleId="Heading1New">
    <w:name w:val="Heading 1 New"/>
    <w:basedOn w:val="Heading1"/>
    <w:link w:val="Heading1NewChar"/>
    <w:uiPriority w:val="3"/>
    <w:rsid w:val="000703A6"/>
    <w:rPr>
      <w:sz w:val="86"/>
      <w:szCs w:val="86"/>
    </w:rPr>
  </w:style>
  <w:style w:type="paragraph" w:customStyle="1" w:styleId="Heading1Newbranding">
    <w:name w:val="Heading 1 New branding"/>
    <w:basedOn w:val="Heading1New"/>
    <w:link w:val="Heading1NewbrandingChar"/>
    <w:uiPriority w:val="3"/>
    <w:rsid w:val="000703A6"/>
  </w:style>
  <w:style w:type="paragraph" w:customStyle="1" w:styleId="BodyTextNewBranding">
    <w:name w:val="Body Text New Branding"/>
    <w:basedOn w:val="BodyTextGrey"/>
    <w:link w:val="BodyTextNewBrandingChar"/>
    <w:uiPriority w:val="3"/>
    <w:rsid w:val="000703A6"/>
  </w:style>
  <w:style w:type="character" w:customStyle="1" w:styleId="Heading1NewChar">
    <w:name w:val="Heading 1 New Char"/>
    <w:basedOn w:val="Heading1Char"/>
    <w:link w:val="Heading1New"/>
    <w:uiPriority w:val="3"/>
    <w:rsid w:val="000703A6"/>
    <w:rPr>
      <w:rFonts w:ascii="Arial" w:hAnsi="Arial"/>
      <w:color w:val="455560"/>
      <w:kern w:val="28"/>
      <w:sz w:val="86"/>
      <w:szCs w:val="86"/>
      <w:lang w:eastAsia="en-US"/>
    </w:rPr>
  </w:style>
  <w:style w:type="character" w:customStyle="1" w:styleId="Heading1NewbrandingChar">
    <w:name w:val="Heading 1 New branding Char"/>
    <w:basedOn w:val="Heading1NewChar"/>
    <w:link w:val="Heading1Newbranding"/>
    <w:uiPriority w:val="3"/>
    <w:rsid w:val="000703A6"/>
    <w:rPr>
      <w:rFonts w:ascii="Arial" w:hAnsi="Arial"/>
      <w:color w:val="455560"/>
      <w:kern w:val="28"/>
      <w:sz w:val="86"/>
      <w:szCs w:val="86"/>
      <w:lang w:eastAsia="en-US"/>
    </w:rPr>
  </w:style>
  <w:style w:type="paragraph" w:customStyle="1" w:styleId="Heading2NewGreen">
    <w:name w:val="Heading 2 New Green"/>
    <w:basedOn w:val="Normal"/>
    <w:link w:val="Heading2NewGreenChar"/>
    <w:uiPriority w:val="3"/>
    <w:rsid w:val="00992B52"/>
    <w:pPr>
      <w:keepNext/>
      <w:keepLines/>
      <w:spacing w:before="0"/>
      <w:jc w:val="left"/>
      <w:outlineLvl w:val="1"/>
    </w:pPr>
    <w:rPr>
      <w:b/>
      <w:color w:val="6EC040" w:themeColor="accent6"/>
      <w:lang w:eastAsia="en-US"/>
    </w:rPr>
  </w:style>
  <w:style w:type="character" w:customStyle="1" w:styleId="BodyTextGreyChar">
    <w:name w:val="Body Text Grey Char"/>
    <w:basedOn w:val="BodyTextChar"/>
    <w:link w:val="BodyTextGrey"/>
    <w:rsid w:val="00163C1B"/>
    <w:rPr>
      <w:rFonts w:ascii="Arial" w:eastAsia="Times New Roman" w:hAnsi="Arial" w:cs="Arial"/>
      <w:iCs/>
      <w:color w:val="455560"/>
      <w:sz w:val="20"/>
      <w:szCs w:val="20"/>
      <w:lang w:eastAsia="en-US"/>
    </w:rPr>
  </w:style>
  <w:style w:type="character" w:customStyle="1" w:styleId="BodyTextNewBrandingChar">
    <w:name w:val="Body Text New Branding Char"/>
    <w:basedOn w:val="BodyTextGreyChar"/>
    <w:link w:val="BodyTextNewBranding"/>
    <w:uiPriority w:val="3"/>
    <w:rsid w:val="000703A6"/>
    <w:rPr>
      <w:rFonts w:ascii="Arial" w:eastAsia="Times New Roman" w:hAnsi="Arial" w:cs="Arial"/>
      <w:iCs/>
      <w:color w:val="455560"/>
      <w:sz w:val="20"/>
      <w:szCs w:val="20"/>
      <w:lang w:eastAsia="en-US"/>
    </w:rPr>
  </w:style>
  <w:style w:type="paragraph" w:customStyle="1" w:styleId="Heading2NumbersNew">
    <w:name w:val="Heading 2 Numbers New"/>
    <w:basedOn w:val="Heading2Num"/>
    <w:link w:val="Heading2NumbersNewChar"/>
    <w:uiPriority w:val="3"/>
    <w:rsid w:val="00992B52"/>
    <w:pPr>
      <w:numPr>
        <w:numId w:val="13"/>
      </w:numPr>
    </w:pPr>
  </w:style>
  <w:style w:type="character" w:customStyle="1" w:styleId="Heading2NewGreenChar">
    <w:name w:val="Heading 2 New Green Char"/>
    <w:basedOn w:val="DefaultParagraphFont"/>
    <w:link w:val="Heading2NewGreen"/>
    <w:uiPriority w:val="3"/>
    <w:rsid w:val="00992B52"/>
    <w:rPr>
      <w:rFonts w:ascii="Arial" w:hAnsi="Arial" w:cs="Arial"/>
      <w:b/>
      <w:iCs/>
      <w:color w:val="6EC040" w:themeColor="accent6"/>
      <w:lang w:eastAsia="en-US"/>
    </w:rPr>
  </w:style>
  <w:style w:type="character" w:customStyle="1" w:styleId="Heading2NumbersNewChar">
    <w:name w:val="Heading 2 Numbers New Char"/>
    <w:basedOn w:val="DefaultParagraphFont"/>
    <w:link w:val="Heading2NumbersNew"/>
    <w:uiPriority w:val="3"/>
    <w:rsid w:val="00992B52"/>
    <w:rPr>
      <w:rFonts w:ascii="Arial" w:hAnsi="Arial" w:cs="Arial"/>
      <w:b/>
      <w:iCs/>
      <w:color w:val="6EC040" w:themeColor="accent6"/>
      <w:lang w:eastAsia="en-US"/>
    </w:rPr>
  </w:style>
  <w:style w:type="paragraph" w:customStyle="1" w:styleId="BulletHymansNew">
    <w:name w:val="Bullet Hymans New"/>
    <w:basedOn w:val="BulletHymans"/>
    <w:link w:val="BulletHymansNewChar"/>
    <w:uiPriority w:val="3"/>
    <w:rsid w:val="00992B52"/>
    <w:pPr>
      <w:numPr>
        <w:numId w:val="14"/>
      </w:numPr>
    </w:pPr>
  </w:style>
  <w:style w:type="character" w:customStyle="1" w:styleId="BulletHymansNewChar">
    <w:name w:val="Bullet Hymans New Char"/>
    <w:basedOn w:val="DefaultParagraphFont"/>
    <w:link w:val="BulletHymansNew"/>
    <w:uiPriority w:val="3"/>
    <w:rsid w:val="00992B52"/>
    <w:rPr>
      <w:rFonts w:ascii="Arial" w:hAnsi="Arial" w:cs="Arial"/>
      <w:iCs/>
      <w:color w:val="455560"/>
      <w:lang w:eastAsia="en-US"/>
    </w:rPr>
  </w:style>
  <w:style w:type="paragraph" w:customStyle="1" w:styleId="Heading4New">
    <w:name w:val="Heading 4 New"/>
    <w:basedOn w:val="Heading4"/>
    <w:link w:val="Heading4NewChar"/>
    <w:uiPriority w:val="3"/>
    <w:rsid w:val="00992B52"/>
  </w:style>
  <w:style w:type="paragraph" w:customStyle="1" w:styleId="Heading4NumbersNew">
    <w:name w:val="Heading 4 Numbers New"/>
    <w:basedOn w:val="Heading3Num"/>
    <w:link w:val="Heading4NumbersNewChar"/>
    <w:uiPriority w:val="3"/>
    <w:qFormat/>
    <w:rsid w:val="00992B52"/>
    <w:pPr>
      <w:numPr>
        <w:numId w:val="13"/>
      </w:numPr>
    </w:pPr>
    <w:rPr>
      <w:color w:val="455560"/>
    </w:rPr>
  </w:style>
  <w:style w:type="character" w:customStyle="1" w:styleId="Heading4NewChar">
    <w:name w:val="Heading 4 New Char"/>
    <w:basedOn w:val="Heading4Char"/>
    <w:link w:val="Heading4New"/>
    <w:uiPriority w:val="3"/>
    <w:rsid w:val="00992B52"/>
    <w:rPr>
      <w:rFonts w:ascii="Arial" w:hAnsi="Arial" w:cs="Arial"/>
      <w:b/>
      <w:iCs/>
      <w:color w:val="455560"/>
      <w:lang w:eastAsia="en-US"/>
    </w:rPr>
  </w:style>
  <w:style w:type="character" w:customStyle="1" w:styleId="Heading3NumChar">
    <w:name w:val="Heading 3 Num Char"/>
    <w:basedOn w:val="Heading3Char"/>
    <w:link w:val="Heading3Num"/>
    <w:uiPriority w:val="1"/>
    <w:rsid w:val="00992B52"/>
    <w:rPr>
      <w:rFonts w:ascii="Arial" w:hAnsi="Arial" w:cs="Arial"/>
      <w:b/>
      <w:iCs/>
      <w:color w:val="3FA6CC" w:themeColor="text1"/>
      <w:lang w:eastAsia="en-US"/>
    </w:rPr>
  </w:style>
  <w:style w:type="character" w:customStyle="1" w:styleId="Heading4NumbersNewChar">
    <w:name w:val="Heading 4 Numbers New Char"/>
    <w:basedOn w:val="Heading3NumChar"/>
    <w:link w:val="Heading4NumbersNew"/>
    <w:uiPriority w:val="3"/>
    <w:rsid w:val="00992B52"/>
    <w:rPr>
      <w:rFonts w:ascii="Arial" w:hAnsi="Arial" w:cs="Arial"/>
      <w:b/>
      <w:iCs/>
      <w:color w:val="455560"/>
      <w:lang w:eastAsia="en-US"/>
    </w:rPr>
  </w:style>
  <w:style w:type="paragraph" w:customStyle="1" w:styleId="BodyBulletNew">
    <w:name w:val="Body Bullet New"/>
    <w:basedOn w:val="BulletHymansNew"/>
    <w:link w:val="BodyBulletNewChar"/>
    <w:uiPriority w:val="3"/>
    <w:rsid w:val="00992B52"/>
    <w:pPr>
      <w:numPr>
        <w:numId w:val="12"/>
      </w:numPr>
    </w:pPr>
  </w:style>
  <w:style w:type="character" w:customStyle="1" w:styleId="BodyBulletNewChar">
    <w:name w:val="Body Bullet New Char"/>
    <w:basedOn w:val="BulletHymansNewChar"/>
    <w:link w:val="BodyBulletNew"/>
    <w:uiPriority w:val="3"/>
    <w:rsid w:val="00992B52"/>
    <w:rPr>
      <w:rFonts w:ascii="Arial" w:hAnsi="Arial" w:cs="Arial"/>
      <w:iCs/>
      <w:color w:val="455560"/>
      <w:lang w:eastAsia="en-US"/>
    </w:rPr>
  </w:style>
  <w:style w:type="character" w:customStyle="1" w:styleId="HeaderTextBlue">
    <w:name w:val="Header Text Blue"/>
    <w:uiPriority w:val="1"/>
    <w:rsid w:val="0031339D"/>
    <w:rPr>
      <w:rFonts w:ascii="Arial" w:hAnsi="Arial"/>
      <w:b w:val="0"/>
      <w:caps w:val="0"/>
      <w:smallCaps w:val="0"/>
      <w:strike w:val="0"/>
      <w:dstrike w:val="0"/>
      <w:vanish w:val="0"/>
      <w:color w:val="3FA6CC" w:themeColor="text1"/>
      <w:sz w:val="20"/>
      <w:u w:val="none"/>
      <w:vertAlign w:val="baseline"/>
    </w:rPr>
  </w:style>
  <w:style w:type="character" w:customStyle="1" w:styleId="HeaderTextGrey">
    <w:name w:val="Header Text Grey"/>
    <w:uiPriority w:val="1"/>
    <w:rsid w:val="00A84884"/>
    <w:rPr>
      <w:rFonts w:ascii="Arial" w:hAnsi="Arial"/>
      <w:b w:val="0"/>
      <w:caps w:val="0"/>
      <w:smallCaps w:val="0"/>
      <w:strike w:val="0"/>
      <w:dstrike w:val="0"/>
      <w:vanish w:val="0"/>
      <w:color w:val="455560"/>
      <w:sz w:val="20"/>
      <w:u w:val="none"/>
      <w:vertAlign w:val="baseline"/>
    </w:rPr>
  </w:style>
  <w:style w:type="character" w:styleId="CommentReference">
    <w:name w:val="annotation reference"/>
    <w:basedOn w:val="DefaultParagraphFont"/>
    <w:uiPriority w:val="99"/>
    <w:semiHidden/>
    <w:unhideWhenUsed/>
    <w:rsid w:val="003E2495"/>
    <w:rPr>
      <w:sz w:val="16"/>
      <w:szCs w:val="16"/>
    </w:rPr>
  </w:style>
  <w:style w:type="paragraph" w:styleId="CommentText">
    <w:name w:val="annotation text"/>
    <w:basedOn w:val="Normal"/>
    <w:link w:val="CommentTextChar"/>
    <w:uiPriority w:val="99"/>
    <w:semiHidden/>
    <w:unhideWhenUsed/>
    <w:rsid w:val="003E2495"/>
    <w:pPr>
      <w:spacing w:line="240" w:lineRule="auto"/>
    </w:pPr>
  </w:style>
  <w:style w:type="character" w:customStyle="1" w:styleId="CommentTextChar">
    <w:name w:val="Comment Text Char"/>
    <w:basedOn w:val="DefaultParagraphFont"/>
    <w:link w:val="CommentText"/>
    <w:uiPriority w:val="99"/>
    <w:semiHidden/>
    <w:rsid w:val="003E2495"/>
    <w:rPr>
      <w:rFonts w:ascii="Arial" w:hAnsi="Arial" w:cs="Arial"/>
      <w:iCs/>
      <w:color w:val="3FA6CC" w:themeColor="text1"/>
    </w:rPr>
  </w:style>
  <w:style w:type="paragraph" w:styleId="CommentSubject">
    <w:name w:val="annotation subject"/>
    <w:basedOn w:val="CommentText"/>
    <w:next w:val="CommentText"/>
    <w:link w:val="CommentSubjectChar"/>
    <w:uiPriority w:val="99"/>
    <w:semiHidden/>
    <w:unhideWhenUsed/>
    <w:rsid w:val="003E2495"/>
    <w:rPr>
      <w:b/>
      <w:bCs/>
    </w:rPr>
  </w:style>
  <w:style w:type="character" w:customStyle="1" w:styleId="CommentSubjectChar">
    <w:name w:val="Comment Subject Char"/>
    <w:basedOn w:val="CommentTextChar"/>
    <w:link w:val="CommentSubject"/>
    <w:uiPriority w:val="99"/>
    <w:semiHidden/>
    <w:rsid w:val="003E2495"/>
    <w:rPr>
      <w:rFonts w:ascii="Arial" w:hAnsi="Arial" w:cs="Arial"/>
      <w:b/>
      <w:bCs/>
      <w:iCs/>
      <w:color w:val="3FA6CC" w:themeColor="text1"/>
    </w:rPr>
  </w:style>
  <w:style w:type="paragraph" w:styleId="BalloonText">
    <w:name w:val="Balloon Text"/>
    <w:basedOn w:val="Normal"/>
    <w:link w:val="BalloonTextChar"/>
    <w:uiPriority w:val="99"/>
    <w:semiHidden/>
    <w:unhideWhenUsed/>
    <w:rsid w:val="003E249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495"/>
    <w:rPr>
      <w:rFonts w:ascii="Segoe UI" w:hAnsi="Segoe UI" w:cs="Segoe UI"/>
      <w:iCs/>
      <w:color w:val="3FA6CC" w:themeColor="text1"/>
      <w:sz w:val="18"/>
      <w:szCs w:val="18"/>
    </w:rPr>
  </w:style>
  <w:style w:type="table" w:styleId="GridTable4">
    <w:name w:val="Grid Table 4"/>
    <w:basedOn w:val="TableNormal"/>
    <w:uiPriority w:val="49"/>
    <w:rsid w:val="00C1178E"/>
    <w:pPr>
      <w:spacing w:after="0"/>
    </w:pPr>
    <w:tblPr>
      <w:tblStyleRowBandSize w:val="1"/>
      <w:tblStyleColBandSize w:val="1"/>
      <w:tblBorders>
        <w:top w:val="single" w:sz="4" w:space="0" w:color="8BC9E0" w:themeColor="text1" w:themeTint="99"/>
        <w:left w:val="single" w:sz="4" w:space="0" w:color="8BC9E0" w:themeColor="text1" w:themeTint="99"/>
        <w:bottom w:val="single" w:sz="4" w:space="0" w:color="8BC9E0" w:themeColor="text1" w:themeTint="99"/>
        <w:right w:val="single" w:sz="4" w:space="0" w:color="8BC9E0" w:themeColor="text1" w:themeTint="99"/>
        <w:insideH w:val="single" w:sz="4" w:space="0" w:color="8BC9E0" w:themeColor="text1" w:themeTint="99"/>
        <w:insideV w:val="single" w:sz="4" w:space="0" w:color="8BC9E0" w:themeColor="text1" w:themeTint="99"/>
      </w:tblBorders>
    </w:tblPr>
    <w:tblStylePr w:type="firstRow">
      <w:rPr>
        <w:b/>
        <w:bCs/>
        <w:color w:val="FFFFFF" w:themeColor="background1"/>
      </w:rPr>
      <w:tblPr/>
      <w:tcPr>
        <w:tcBorders>
          <w:top w:val="single" w:sz="4" w:space="0" w:color="3FA6CC" w:themeColor="text1"/>
          <w:left w:val="single" w:sz="4" w:space="0" w:color="3FA6CC" w:themeColor="text1"/>
          <w:bottom w:val="single" w:sz="4" w:space="0" w:color="3FA6CC" w:themeColor="text1"/>
          <w:right w:val="single" w:sz="4" w:space="0" w:color="3FA6CC" w:themeColor="text1"/>
          <w:insideH w:val="nil"/>
          <w:insideV w:val="nil"/>
        </w:tcBorders>
        <w:shd w:val="clear" w:color="auto" w:fill="3FA6CC" w:themeFill="text1"/>
      </w:tcPr>
    </w:tblStylePr>
    <w:tblStylePr w:type="lastRow">
      <w:rPr>
        <w:b/>
        <w:bCs/>
      </w:rPr>
      <w:tblPr/>
      <w:tcPr>
        <w:tcBorders>
          <w:top w:val="double" w:sz="4" w:space="0" w:color="3FA6CC" w:themeColor="text1"/>
        </w:tcBorders>
      </w:tcPr>
    </w:tblStylePr>
    <w:tblStylePr w:type="firstCol">
      <w:rPr>
        <w:b/>
        <w:bCs/>
      </w:rPr>
    </w:tblStylePr>
    <w:tblStylePr w:type="lastCol">
      <w:rPr>
        <w:b/>
        <w:bCs/>
      </w:rPr>
    </w:tblStylePr>
    <w:tblStylePr w:type="band1Vert">
      <w:tblPr/>
      <w:tcPr>
        <w:shd w:val="clear" w:color="auto" w:fill="D8EDF4" w:themeFill="text1" w:themeFillTint="33"/>
      </w:tcPr>
    </w:tblStylePr>
    <w:tblStylePr w:type="band1Horz">
      <w:tblPr/>
      <w:tcPr>
        <w:shd w:val="clear" w:color="auto" w:fill="D8EDF4" w:themeFill="text1" w:themeFillTint="33"/>
      </w:tcPr>
    </w:tblStylePr>
  </w:style>
  <w:style w:type="paragraph" w:styleId="Revision">
    <w:name w:val="Revision"/>
    <w:hidden/>
    <w:uiPriority w:val="99"/>
    <w:semiHidden/>
    <w:rsid w:val="00474391"/>
    <w:pPr>
      <w:spacing w:before="0" w:after="0"/>
    </w:pPr>
    <w:rPr>
      <w:rFonts w:ascii="Arial" w:hAnsi="Arial" w:cs="Arial"/>
      <w:iCs/>
      <w:color w:val="3FA6CC" w:themeColor="text1"/>
    </w:rPr>
  </w:style>
  <w:style w:type="character" w:styleId="UnresolvedMention">
    <w:name w:val="Unresolved Mention"/>
    <w:basedOn w:val="DefaultParagraphFont"/>
    <w:uiPriority w:val="99"/>
    <w:semiHidden/>
    <w:unhideWhenUsed/>
    <w:rsid w:val="002E42B6"/>
    <w:rPr>
      <w:color w:val="605E5C"/>
      <w:shd w:val="clear" w:color="auto" w:fill="E1DFDD"/>
    </w:rPr>
  </w:style>
  <w:style w:type="character" w:styleId="FollowedHyperlink">
    <w:name w:val="FollowedHyperlink"/>
    <w:basedOn w:val="DefaultParagraphFont"/>
    <w:uiPriority w:val="99"/>
    <w:semiHidden/>
    <w:unhideWhenUsed/>
    <w:rsid w:val="008D7C65"/>
    <w:rPr>
      <w:color w:val="646464" w:themeColor="followedHyperlink"/>
      <w:u w:val="single"/>
    </w:rPr>
  </w:style>
  <w:style w:type="character" w:customStyle="1" w:styleId="normaltextrun">
    <w:name w:val="normaltextrun"/>
    <w:basedOn w:val="DefaultParagraphFont"/>
    <w:rsid w:val="00AD5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193847">
      <w:bodyDiv w:val="1"/>
      <w:marLeft w:val="0"/>
      <w:marRight w:val="0"/>
      <w:marTop w:val="0"/>
      <w:marBottom w:val="0"/>
      <w:divBdr>
        <w:top w:val="none" w:sz="0" w:space="0" w:color="auto"/>
        <w:left w:val="none" w:sz="0" w:space="0" w:color="auto"/>
        <w:bottom w:val="none" w:sz="0" w:space="0" w:color="auto"/>
        <w:right w:val="none" w:sz="0" w:space="0" w:color="auto"/>
      </w:divBdr>
    </w:div>
    <w:div w:id="345444847">
      <w:bodyDiv w:val="1"/>
      <w:marLeft w:val="0"/>
      <w:marRight w:val="0"/>
      <w:marTop w:val="0"/>
      <w:marBottom w:val="0"/>
      <w:divBdr>
        <w:top w:val="none" w:sz="0" w:space="0" w:color="auto"/>
        <w:left w:val="none" w:sz="0" w:space="0" w:color="auto"/>
        <w:bottom w:val="none" w:sz="0" w:space="0" w:color="auto"/>
        <w:right w:val="none" w:sz="0" w:space="0" w:color="auto"/>
      </w:divBdr>
    </w:div>
    <w:div w:id="459613039">
      <w:bodyDiv w:val="1"/>
      <w:marLeft w:val="0"/>
      <w:marRight w:val="0"/>
      <w:marTop w:val="0"/>
      <w:marBottom w:val="0"/>
      <w:divBdr>
        <w:top w:val="none" w:sz="0" w:space="0" w:color="auto"/>
        <w:left w:val="none" w:sz="0" w:space="0" w:color="auto"/>
        <w:bottom w:val="none" w:sz="0" w:space="0" w:color="auto"/>
        <w:right w:val="none" w:sz="0" w:space="0" w:color="auto"/>
      </w:divBdr>
    </w:div>
    <w:div w:id="534585769">
      <w:bodyDiv w:val="1"/>
      <w:marLeft w:val="0"/>
      <w:marRight w:val="0"/>
      <w:marTop w:val="0"/>
      <w:marBottom w:val="0"/>
      <w:divBdr>
        <w:top w:val="none" w:sz="0" w:space="0" w:color="auto"/>
        <w:left w:val="none" w:sz="0" w:space="0" w:color="auto"/>
        <w:bottom w:val="none" w:sz="0" w:space="0" w:color="auto"/>
        <w:right w:val="none" w:sz="0" w:space="0" w:color="auto"/>
      </w:divBdr>
    </w:div>
    <w:div w:id="615022330">
      <w:bodyDiv w:val="1"/>
      <w:marLeft w:val="0"/>
      <w:marRight w:val="0"/>
      <w:marTop w:val="0"/>
      <w:marBottom w:val="0"/>
      <w:divBdr>
        <w:top w:val="none" w:sz="0" w:space="0" w:color="auto"/>
        <w:left w:val="none" w:sz="0" w:space="0" w:color="auto"/>
        <w:bottom w:val="none" w:sz="0" w:space="0" w:color="auto"/>
        <w:right w:val="none" w:sz="0" w:space="0" w:color="auto"/>
      </w:divBdr>
      <w:divsChild>
        <w:div w:id="1316178126">
          <w:marLeft w:val="0"/>
          <w:marRight w:val="0"/>
          <w:marTop w:val="100"/>
          <w:marBottom w:val="100"/>
          <w:divBdr>
            <w:top w:val="none" w:sz="0" w:space="0" w:color="auto"/>
            <w:left w:val="none" w:sz="0" w:space="0" w:color="auto"/>
            <w:bottom w:val="none" w:sz="0" w:space="0" w:color="auto"/>
            <w:right w:val="none" w:sz="0" w:space="0" w:color="auto"/>
          </w:divBdr>
          <w:divsChild>
            <w:div w:id="865368995">
              <w:marLeft w:val="0"/>
              <w:marRight w:val="0"/>
              <w:marTop w:val="0"/>
              <w:marBottom w:val="2"/>
              <w:divBdr>
                <w:top w:val="none" w:sz="0" w:space="0" w:color="auto"/>
                <w:left w:val="none" w:sz="0" w:space="0" w:color="auto"/>
                <w:bottom w:val="none" w:sz="0" w:space="0" w:color="auto"/>
                <w:right w:val="none" w:sz="0" w:space="0" w:color="auto"/>
              </w:divBdr>
              <w:divsChild>
                <w:div w:id="476074338">
                  <w:marLeft w:val="0"/>
                  <w:marRight w:val="0"/>
                  <w:marTop w:val="0"/>
                  <w:marBottom w:val="0"/>
                  <w:divBdr>
                    <w:top w:val="none" w:sz="0" w:space="0" w:color="auto"/>
                    <w:left w:val="none" w:sz="0" w:space="0" w:color="auto"/>
                    <w:bottom w:val="none" w:sz="0" w:space="0" w:color="auto"/>
                    <w:right w:val="none" w:sz="0" w:space="0" w:color="auto"/>
                  </w:divBdr>
                  <w:divsChild>
                    <w:div w:id="2025282454">
                      <w:marLeft w:val="0"/>
                      <w:marRight w:val="0"/>
                      <w:marTop w:val="0"/>
                      <w:marBottom w:val="0"/>
                      <w:divBdr>
                        <w:top w:val="none" w:sz="0" w:space="0" w:color="auto"/>
                        <w:left w:val="none" w:sz="0" w:space="0" w:color="auto"/>
                        <w:bottom w:val="none" w:sz="0" w:space="0" w:color="auto"/>
                        <w:right w:val="none" w:sz="0" w:space="0" w:color="auto"/>
                      </w:divBdr>
                      <w:divsChild>
                        <w:div w:id="349331879">
                          <w:marLeft w:val="0"/>
                          <w:marRight w:val="0"/>
                          <w:marTop w:val="0"/>
                          <w:marBottom w:val="0"/>
                          <w:divBdr>
                            <w:top w:val="none" w:sz="0" w:space="0" w:color="auto"/>
                            <w:left w:val="none" w:sz="0" w:space="0" w:color="auto"/>
                            <w:bottom w:val="none" w:sz="0" w:space="0" w:color="auto"/>
                            <w:right w:val="none" w:sz="0" w:space="0" w:color="auto"/>
                          </w:divBdr>
                          <w:divsChild>
                            <w:div w:id="2869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806">
      <w:bodyDiv w:val="1"/>
      <w:marLeft w:val="0"/>
      <w:marRight w:val="0"/>
      <w:marTop w:val="0"/>
      <w:marBottom w:val="0"/>
      <w:divBdr>
        <w:top w:val="none" w:sz="0" w:space="0" w:color="auto"/>
        <w:left w:val="none" w:sz="0" w:space="0" w:color="auto"/>
        <w:bottom w:val="none" w:sz="0" w:space="0" w:color="auto"/>
        <w:right w:val="none" w:sz="0" w:space="0" w:color="auto"/>
      </w:divBdr>
    </w:div>
    <w:div w:id="1455251865">
      <w:bodyDiv w:val="1"/>
      <w:marLeft w:val="0"/>
      <w:marRight w:val="0"/>
      <w:marTop w:val="0"/>
      <w:marBottom w:val="0"/>
      <w:divBdr>
        <w:top w:val="none" w:sz="0" w:space="0" w:color="auto"/>
        <w:left w:val="none" w:sz="0" w:space="0" w:color="auto"/>
        <w:bottom w:val="none" w:sz="0" w:space="0" w:color="auto"/>
        <w:right w:val="none" w:sz="0" w:space="0" w:color="auto"/>
      </w:divBdr>
      <w:divsChild>
        <w:div w:id="189995415">
          <w:marLeft w:val="0"/>
          <w:marRight w:val="0"/>
          <w:marTop w:val="100"/>
          <w:marBottom w:val="100"/>
          <w:divBdr>
            <w:top w:val="none" w:sz="0" w:space="0" w:color="auto"/>
            <w:left w:val="none" w:sz="0" w:space="0" w:color="auto"/>
            <w:bottom w:val="none" w:sz="0" w:space="0" w:color="auto"/>
            <w:right w:val="none" w:sz="0" w:space="0" w:color="auto"/>
          </w:divBdr>
          <w:divsChild>
            <w:div w:id="315838446">
              <w:marLeft w:val="0"/>
              <w:marRight w:val="0"/>
              <w:marTop w:val="0"/>
              <w:marBottom w:val="2"/>
              <w:divBdr>
                <w:top w:val="none" w:sz="0" w:space="0" w:color="auto"/>
                <w:left w:val="none" w:sz="0" w:space="0" w:color="auto"/>
                <w:bottom w:val="none" w:sz="0" w:space="0" w:color="auto"/>
                <w:right w:val="none" w:sz="0" w:space="0" w:color="auto"/>
              </w:divBdr>
              <w:divsChild>
                <w:div w:id="996222615">
                  <w:marLeft w:val="0"/>
                  <w:marRight w:val="0"/>
                  <w:marTop w:val="0"/>
                  <w:marBottom w:val="0"/>
                  <w:divBdr>
                    <w:top w:val="none" w:sz="0" w:space="0" w:color="auto"/>
                    <w:left w:val="none" w:sz="0" w:space="0" w:color="auto"/>
                    <w:bottom w:val="none" w:sz="0" w:space="0" w:color="auto"/>
                    <w:right w:val="none" w:sz="0" w:space="0" w:color="auto"/>
                  </w:divBdr>
                  <w:divsChild>
                    <w:div w:id="465046100">
                      <w:marLeft w:val="0"/>
                      <w:marRight w:val="0"/>
                      <w:marTop w:val="0"/>
                      <w:marBottom w:val="0"/>
                      <w:divBdr>
                        <w:top w:val="none" w:sz="0" w:space="0" w:color="auto"/>
                        <w:left w:val="none" w:sz="0" w:space="0" w:color="auto"/>
                        <w:bottom w:val="none" w:sz="0" w:space="0" w:color="auto"/>
                        <w:right w:val="none" w:sz="0" w:space="0" w:color="auto"/>
                      </w:divBdr>
                      <w:divsChild>
                        <w:div w:id="262307396">
                          <w:marLeft w:val="0"/>
                          <w:marRight w:val="0"/>
                          <w:marTop w:val="0"/>
                          <w:marBottom w:val="0"/>
                          <w:divBdr>
                            <w:top w:val="none" w:sz="0" w:space="0" w:color="auto"/>
                            <w:left w:val="none" w:sz="0" w:space="0" w:color="auto"/>
                            <w:bottom w:val="none" w:sz="0" w:space="0" w:color="auto"/>
                            <w:right w:val="none" w:sz="0" w:space="0" w:color="auto"/>
                          </w:divBdr>
                          <w:divsChild>
                            <w:div w:id="8667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310309">
      <w:bodyDiv w:val="1"/>
      <w:marLeft w:val="0"/>
      <w:marRight w:val="0"/>
      <w:marTop w:val="0"/>
      <w:marBottom w:val="0"/>
      <w:divBdr>
        <w:top w:val="none" w:sz="0" w:space="0" w:color="auto"/>
        <w:left w:val="none" w:sz="0" w:space="0" w:color="auto"/>
        <w:bottom w:val="none" w:sz="0" w:space="0" w:color="auto"/>
        <w:right w:val="none" w:sz="0" w:space="0" w:color="auto"/>
      </w:divBdr>
    </w:div>
    <w:div w:id="2121996105">
      <w:bodyDiv w:val="1"/>
      <w:marLeft w:val="0"/>
      <w:marRight w:val="0"/>
      <w:marTop w:val="0"/>
      <w:marBottom w:val="0"/>
      <w:divBdr>
        <w:top w:val="none" w:sz="0" w:space="0" w:color="auto"/>
        <w:left w:val="none" w:sz="0" w:space="0" w:color="auto"/>
        <w:bottom w:val="none" w:sz="0" w:space="0" w:color="auto"/>
        <w:right w:val="none" w:sz="0" w:space="0" w:color="auto"/>
      </w:divBdr>
    </w:div>
    <w:div w:id="213694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R Colour">
  <a:themeElements>
    <a:clrScheme name="HR Colour">
      <a:dk1>
        <a:srgbClr val="3FA6CC"/>
      </a:dk1>
      <a:lt1>
        <a:srgbClr val="FFFFFF"/>
      </a:lt1>
      <a:dk2>
        <a:srgbClr val="6EC040"/>
      </a:dk2>
      <a:lt2>
        <a:srgbClr val="FFFFFF"/>
      </a:lt2>
      <a:accent1>
        <a:srgbClr val="F06A00"/>
      </a:accent1>
      <a:accent2>
        <a:srgbClr val="4B4B4B"/>
      </a:accent2>
      <a:accent3>
        <a:srgbClr val="F2016C"/>
      </a:accent3>
      <a:accent4>
        <a:srgbClr val="3FA6CC"/>
      </a:accent4>
      <a:accent5>
        <a:srgbClr val="646464"/>
      </a:accent5>
      <a:accent6>
        <a:srgbClr val="6EC040"/>
      </a:accent6>
      <a:hlink>
        <a:srgbClr val="F73D96"/>
      </a:hlink>
      <a:folHlink>
        <a:srgbClr val="646464"/>
      </a:folHlink>
    </a:clrScheme>
    <a:fontScheme name="HR Colou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HR Colou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DF33370390F4B8CCA7E282A2DD500" ma:contentTypeVersion="4" ma:contentTypeDescription="Create a new document." ma:contentTypeScope="" ma:versionID="6b17f89d0d2810fb3c940d3e12cd6006">
  <xsd:schema xmlns:xsd="http://www.w3.org/2001/XMLSchema" xmlns:xs="http://www.w3.org/2001/XMLSchema" xmlns:p="http://schemas.microsoft.com/office/2006/metadata/properties" xmlns:ns2="33f95e2e-7da9-46bf-ab50-9eb6fd5585e7" targetNamespace="http://schemas.microsoft.com/office/2006/metadata/properties" ma:root="true" ma:fieldsID="1de88259eb8eff11a6cd76a29efa14d1" ns2:_="">
    <xsd:import namespace="33f95e2e-7da9-46bf-ab50-9eb6fd5585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95e2e-7da9-46bf-ab50-9eb6fd558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66C40-F2F2-47AD-952F-E69B20E9F2A7}">
  <ds:schemaRefs>
    <ds:schemaRef ds:uri="http://schemas.microsoft.com/sharepoint/v3/contenttype/forms"/>
  </ds:schemaRefs>
</ds:datastoreItem>
</file>

<file path=customXml/itemProps2.xml><?xml version="1.0" encoding="utf-8"?>
<ds:datastoreItem xmlns:ds="http://schemas.openxmlformats.org/officeDocument/2006/customXml" ds:itemID="{6BF74CCE-3A7A-4428-BD18-FC2C9C6038CD}">
  <ds:schemaRefs>
    <ds:schemaRef ds:uri="http://purl.org/dc/elements/1.1/"/>
    <ds:schemaRef ds:uri="http://purl.org/dc/terms/"/>
    <ds:schemaRef ds:uri="http://schemas.openxmlformats.org/package/2006/metadata/core-properties"/>
    <ds:schemaRef ds:uri="33f95e2e-7da9-46bf-ab50-9eb6fd5585e7"/>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D45E60C-018E-49C8-B7B4-E54D9B0B8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95e2e-7da9-46bf-ab50-9eb6fd55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McInroy" Robert.McInroy@hymans.co.uk</dc:creator>
  <cp:lastModifiedBy>Hugh Spencer</cp:lastModifiedBy>
  <cp:revision>2</cp:revision>
  <cp:lastPrinted>2020-06-01T12:29:00Z</cp:lastPrinted>
  <dcterms:created xsi:type="dcterms:W3CDTF">2021-07-30T14:30:00Z</dcterms:created>
  <dcterms:modified xsi:type="dcterms:W3CDTF">2021-07-30T14:30:00Z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0x010100002DF33370390F4B8CCA7E282A2DD500</vt:lpwstr>
  </property>
  <property fmtid="{D5CDD505-2E9C-101B-9397-08002B2CF9AE}" pid="3" name="cimPeerReviewTypeRequired">
    <vt:lpwstr/>
  </property>
  <property fmtid="{D5CDD505-2E9C-101B-9397-08002B2CF9AE}" pid="4" name="cimPractices">
    <vt:lpwstr>7;#Actuarial and Benefits|874980fa-e850-4f47-870b-7eb081362a95</vt:lpwstr>
  </property>
  <property fmtid="{D5CDD505-2E9C-101B-9397-08002B2CF9AE}" pid="5" name="TaxKeyword">
    <vt:lpwstr/>
  </property>
  <property fmtid="{D5CDD505-2E9C-101B-9397-08002B2CF9AE}" pid="6" name="cimSegment">
    <vt:lpwstr>6;#Public Sector|1fcda6c6-5b08-41e6-8c9d-4ecb77e01f16</vt:lpwstr>
  </property>
  <property fmtid="{D5CDD505-2E9C-101B-9397-08002B2CF9AE}" pid="7" name="cimPeerReviewType">
    <vt:lpwstr/>
  </property>
  <property fmtid="{D5CDD505-2E9C-101B-9397-08002B2CF9AE}" pid="8" name="cimClient">
    <vt:lpwstr>4;#London Borough of Haringey|64d26662-b14e-4079-8ff2-62dbee6a70df</vt:lpwstr>
  </property>
  <property fmtid="{D5CDD505-2E9C-101B-9397-08002B2CF9AE}" pid="9" name="cimSector">
    <vt:lpwstr>5;#Public - LGPS|9d10cdb8-3f68-43ce-82a9-12820c4e94f0</vt:lpwstr>
  </property>
</Properties>
</file>